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480" w:lineRule="exact"/>
        <w:rPr>
          <w:rFonts w:ascii="方正大标宋简体" w:hAnsi="宋体" w:eastAsia="方正大标宋简体"/>
          <w:b/>
          <w:sz w:val="36"/>
        </w:rPr>
      </w:pPr>
      <w:bookmarkStart w:id="8" w:name="_GoBack"/>
      <w:bookmarkEnd w:id="8"/>
      <w:r>
        <w:rPr>
          <w:rFonts w:ascii="Calibri" w:hAnsi="Calibri"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747395</wp:posOffset>
                </wp:positionH>
                <wp:positionV relativeFrom="paragraph">
                  <wp:posOffset>13335</wp:posOffset>
                </wp:positionV>
                <wp:extent cx="3743960" cy="496570"/>
                <wp:effectExtent l="4445" t="5080" r="23495" b="12700"/>
                <wp:wrapNone/>
                <wp:docPr id="1" name="矩形 17"/>
                <wp:cNvGraphicFramePr/>
                <a:graphic xmlns:a="http://schemas.openxmlformats.org/drawingml/2006/main">
                  <a:graphicData uri="http://schemas.microsoft.com/office/word/2010/wordprocessingShape">
                    <wps:wsp>
                      <wps:cNvSpPr/>
                      <wps:spPr>
                        <a:xfrm>
                          <a:off x="0" y="0"/>
                          <a:ext cx="3743960" cy="496570"/>
                        </a:xfrm>
                        <a:prstGeom prst="rect">
                          <a:avLst/>
                        </a:prstGeom>
                        <a:gradFill rotWithShape="0">
                          <a:gsLst>
                            <a:gs pos="0">
                              <a:srgbClr val="FFFFFF">
                                <a:alpha val="100000"/>
                              </a:srgbClr>
                            </a:gs>
                            <a:gs pos="100000">
                              <a:srgbClr val="FFFFFF">
                                <a:alpha val="100000"/>
                              </a:srgbClr>
                            </a:gs>
                          </a:gsLst>
                          <a:lin ang="0" scaled="1"/>
                          <a:tileRect/>
                        </a:gradFill>
                        <a:ln w="9525" cap="flat" cmpd="sng">
                          <a:solidFill>
                            <a:srgbClr val="000000"/>
                          </a:solidFill>
                          <a:prstDash val="solid"/>
                          <a:miter/>
                          <a:headEnd type="none" w="med" len="med"/>
                          <a:tailEnd type="none" w="med" len="med"/>
                        </a:ln>
                      </wps:spPr>
                      <wps:txbx>
                        <w:txbxContent>
                          <w:p>
                            <w:r>
                              <w:rPr>
                                <w:rFonts w:hint="eastAsia" w:ascii="仿宋_GB2312" w:hAnsi="Arial" w:eastAsia="仿宋_GB2312" w:cs="Arial"/>
                                <w:b/>
                                <w:sz w:val="32"/>
                                <w:szCs w:val="32"/>
                              </w:rPr>
                              <w:t>理财非存款、产品有风险、投资须谨慎！</w:t>
                            </w:r>
                          </w:p>
                        </w:txbxContent>
                      </wps:txbx>
                      <wps:bodyPr upright="1"/>
                    </wps:wsp>
                  </a:graphicData>
                </a:graphic>
              </wp:anchor>
            </w:drawing>
          </mc:Choice>
          <mc:Fallback>
            <w:pict>
              <v:rect id="矩形 17" o:spid="_x0000_s1026" o:spt="1" style="position:absolute;left:0pt;margin-left:58.85pt;margin-top:1.05pt;height:39.1pt;width:294.8pt;z-index:251659264;mso-width-relative:page;mso-height-relative:page;" fillcolor="#FFFFFF" filled="t" stroked="t" coordsize="21600,21600" o:gfxdata="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MrR51gAAAAgBAAAPAAAAAAAAAAEAIAAAACIAAABkcnMvZG93bnJldi54&#10;bWxQSwECFAAUAAAACACHTuJAD0QoQDUCAACyBAAADgAAAAAAAAABACAAAAAlAQAAZHJzL2Uyb0Rv&#10;Yy54bWxQSwUGAAAAAAYABgBZAQAAzAUAAAAA&#10;">
                <v:fill type="gradient" on="t" color2="#FFFFFF" angle="90" focus="100%" focussize="0,0"/>
                <v:stroke color="#000000" joinstyle="miter"/>
                <v:imagedata o:title=""/>
                <o:lock v:ext="edit" aspectratio="f"/>
                <v:textbox>
                  <w:txbxContent>
                    <w:p>
                      <w:r>
                        <w:rPr>
                          <w:rFonts w:hint="eastAsia" w:ascii="仿宋_GB2312" w:hAnsi="Arial" w:eastAsia="仿宋_GB2312" w:cs="Arial"/>
                          <w:b/>
                          <w:sz w:val="32"/>
                          <w:szCs w:val="32"/>
                        </w:rPr>
                        <w:t>理财非存款、产品有风险、投资须谨慎！</w:t>
                      </w:r>
                    </w:p>
                  </w:txbxContent>
                </v:textbox>
              </v:rect>
            </w:pict>
          </mc:Fallback>
        </mc:AlternateContent>
      </w:r>
    </w:p>
    <w:p>
      <w:pPr>
        <w:snapToGrid w:val="0"/>
        <w:spacing w:beforeLines="50" w:line="480" w:lineRule="exact"/>
        <w:jc w:val="center"/>
        <w:rPr>
          <w:rFonts w:ascii="方正大标宋简体" w:hAnsi="宋体" w:eastAsia="方正大标宋简体"/>
          <w:b/>
          <w:sz w:val="36"/>
        </w:rPr>
      </w:pPr>
    </w:p>
    <w:p>
      <w:pPr>
        <w:snapToGrid w:val="0"/>
        <w:spacing w:beforeLines="50" w:line="480" w:lineRule="exact"/>
        <w:jc w:val="center"/>
        <w:rPr>
          <w:rFonts w:ascii="方正大标宋简体" w:hAnsi="宋体" w:eastAsia="方正大标宋简体"/>
          <w:b/>
          <w:sz w:val="36"/>
        </w:rPr>
      </w:pPr>
      <w:r>
        <w:rPr>
          <w:rFonts w:hint="eastAsia" w:ascii="方正大标宋简体" w:hAnsi="宋体" w:eastAsia="方正大标宋简体"/>
          <w:b/>
          <w:sz w:val="36"/>
        </w:rPr>
        <w:t>常乐智享</w:t>
      </w:r>
      <w:r>
        <w:rPr>
          <w:rFonts w:hint="eastAsia" w:ascii="方正大标宋简体" w:hAnsi="宋体" w:eastAsia="方正大标宋简体"/>
          <w:b/>
          <w:sz w:val="36"/>
          <w:u w:val="single"/>
        </w:rPr>
        <w:t>一年期A款</w:t>
      </w:r>
      <w:r>
        <w:rPr>
          <w:rFonts w:hint="eastAsia" w:ascii="方正大标宋简体" w:hAnsi="宋体" w:eastAsia="方正大标宋简体"/>
          <w:b/>
          <w:sz w:val="36"/>
        </w:rPr>
        <w:t>净值型</w:t>
      </w:r>
      <w:r>
        <w:rPr>
          <w:rFonts w:hint="eastAsia" w:ascii="方正大标宋简体" w:hAnsi="宋体" w:eastAsia="方正大标宋简体"/>
          <w:b/>
          <w:sz w:val="36"/>
          <w:szCs w:val="36"/>
        </w:rPr>
        <w:t>人民币</w:t>
      </w:r>
      <w:r>
        <w:rPr>
          <w:rFonts w:hint="eastAsia" w:ascii="方正大标宋简体" w:hAnsi="宋体" w:eastAsia="方正大标宋简体"/>
          <w:b/>
          <w:sz w:val="36"/>
        </w:rPr>
        <w:t>理财产品说明书</w:t>
      </w:r>
    </w:p>
    <w:p>
      <w:pPr>
        <w:snapToGrid w:val="0"/>
        <w:spacing w:beforeLines="50" w:line="480" w:lineRule="exact"/>
        <w:jc w:val="center"/>
        <w:rPr>
          <w:rFonts w:ascii="方正大标宋简体" w:hAnsi="宋体" w:eastAsia="方正大标宋简体"/>
          <w:b/>
        </w:rPr>
      </w:pPr>
    </w:p>
    <w:p>
      <w:pPr>
        <w:snapToGrid w:val="0"/>
        <w:spacing w:line="360" w:lineRule="atLeast"/>
        <w:ind w:firstLine="522" w:firstLineChars="200"/>
        <w:jc w:val="center"/>
        <w:rPr>
          <w:rFonts w:ascii="楷体_GB2312" w:eastAsia="楷体_GB2312"/>
          <w:b/>
          <w:spacing w:val="-10"/>
          <w:kern w:val="0"/>
          <w:sz w:val="28"/>
        </w:rPr>
      </w:pPr>
      <w:r>
        <w:rPr>
          <w:rFonts w:hint="eastAsia" w:ascii="楷体_GB2312" w:eastAsia="楷体_GB2312"/>
          <w:b/>
          <w:spacing w:val="-10"/>
          <w:kern w:val="0"/>
          <w:sz w:val="28"/>
        </w:rPr>
        <w:t>重要提示</w:t>
      </w:r>
    </w:p>
    <w:p>
      <w:pPr>
        <w:snapToGrid w:val="0"/>
        <w:spacing w:line="360" w:lineRule="exact"/>
        <w:rPr>
          <w:rFonts w:ascii="楷体_GB2312" w:eastAsia="楷体_GB2312"/>
          <w:szCs w:val="21"/>
        </w:rPr>
      </w:pPr>
      <w:r>
        <w:rPr>
          <w:rFonts w:hint="eastAsia" w:ascii="楷体_GB2312" w:eastAsia="楷体_GB2312"/>
          <w:szCs w:val="21"/>
        </w:rPr>
        <w:t>尊敬的投资者：</w:t>
      </w:r>
    </w:p>
    <w:p>
      <w:pPr>
        <w:snapToGrid w:val="0"/>
        <w:spacing w:line="360" w:lineRule="exact"/>
        <w:ind w:firstLine="420" w:firstLineChars="200"/>
        <w:rPr>
          <w:rFonts w:ascii="楷体_GB2312" w:eastAsia="楷体_GB2312"/>
          <w:b/>
          <w:bCs/>
          <w:szCs w:val="21"/>
        </w:rPr>
      </w:pPr>
      <w:r>
        <w:rPr>
          <w:rFonts w:hint="eastAsia" w:ascii="楷体_GB2312" w:eastAsia="楷体_GB2312"/>
          <w:szCs w:val="21"/>
        </w:rPr>
        <w:t>江苏常熟农村商业银行股份有限公司（以下简称“常熟农商银行”或“银行”、“管理人”）销售的理财产品与存款存在明显区别，具有一定的风险。常熟农商银行郑重提示：</w:t>
      </w:r>
      <w:r>
        <w:rPr>
          <w:rFonts w:hint="eastAsia" w:ascii="楷体_GB2312" w:eastAsia="楷体_GB2312"/>
          <w:b/>
          <w:bCs/>
          <w:szCs w:val="21"/>
        </w:rPr>
        <w:t>在购买理财产品前，您应仔细阅读理财产品销售文件，确保自己完全理解该项投资的性质和所涉及的风险，详细了解和审慎评估该理财产品的资金投资方向、风险类型及业绩比较基准（如有）等基本情况，在慎重考虑后自行决定购买与自身风险承受能力和资产管理需求匹配的理财产品。</w:t>
      </w:r>
    </w:p>
    <w:p>
      <w:pPr>
        <w:snapToGrid w:val="0"/>
        <w:spacing w:line="360" w:lineRule="exact"/>
        <w:ind w:firstLine="422" w:firstLineChars="200"/>
        <w:rPr>
          <w:rFonts w:ascii="楷体_GB2312" w:eastAsia="楷体_GB2312"/>
          <w:b/>
          <w:bCs/>
          <w:szCs w:val="21"/>
        </w:rPr>
      </w:pPr>
      <w:r>
        <w:rPr>
          <w:rFonts w:hint="eastAsia" w:ascii="楷体_GB2312" w:eastAsia="楷体_GB2312"/>
          <w:b/>
          <w:bCs/>
          <w:szCs w:val="21"/>
        </w:rPr>
        <w:t>在购买本理财计划后，投资者应随时关注信息披露情况，及时获取相息，相关信息以本《产品说明书》约定的披露方式为准。</w:t>
      </w:r>
    </w:p>
    <w:p>
      <w:pPr>
        <w:snapToGrid w:val="0"/>
        <w:spacing w:line="360" w:lineRule="exact"/>
        <w:ind w:firstLine="422" w:firstLineChars="200"/>
        <w:rPr>
          <w:rFonts w:ascii="楷体_GB2312" w:eastAsia="楷体_GB2312"/>
          <w:b/>
          <w:bCs/>
          <w:szCs w:val="21"/>
        </w:rPr>
      </w:pPr>
      <w:r>
        <w:rPr>
          <w:rFonts w:hint="eastAsia" w:ascii="楷体_GB2312" w:eastAsia="楷体_GB2312"/>
          <w:b/>
          <w:bCs/>
          <w:szCs w:val="21"/>
        </w:rPr>
        <w:t>除本《产品说明书》中明确规定的收益及分配方式外，任何业绩比较基准或类似表述均属不具有法律约束力的用语，不代表投资者可能获得实际收益，亦不构成管理人对本理财产品的任何收益承诺。投资者所能获得最终以管理人实际支付的为准。</w:t>
      </w:r>
    </w:p>
    <w:p>
      <w:pPr>
        <w:snapToGrid w:val="0"/>
        <w:spacing w:line="360" w:lineRule="exact"/>
        <w:ind w:firstLine="422" w:firstLineChars="200"/>
        <w:rPr>
          <w:rFonts w:ascii="楷体_GB2312" w:eastAsia="楷体_GB2312"/>
          <w:b/>
          <w:szCs w:val="21"/>
        </w:rPr>
      </w:pPr>
      <w:r>
        <w:rPr>
          <w:rFonts w:hint="eastAsia" w:ascii="楷体_GB2312" w:eastAsia="楷体_GB2312"/>
          <w:b/>
          <w:szCs w:val="21"/>
        </w:rPr>
        <w:t>本产品说明书与《</w:t>
      </w:r>
      <w:r>
        <w:rPr>
          <w:rFonts w:ascii="楷体_GB2312" w:eastAsia="楷体_GB2312"/>
          <w:b/>
          <w:szCs w:val="21"/>
        </w:rPr>
        <w:t>风险</w:t>
      </w:r>
      <w:r>
        <w:rPr>
          <w:rFonts w:hint="eastAsia" w:ascii="楷体_GB2312" w:eastAsia="楷体_GB2312"/>
          <w:b/>
          <w:szCs w:val="21"/>
        </w:rPr>
        <w:t>揭示书》、《理财产品协议书》、《投资者权益须知》共同构成完整的不可分割的理财合同。若本产品说明书内容与前述文件不一致的，以本产品说明书为准。在购买本产品前，您应认真阅读本理财产品合同，注意与您有重大利害关系的条款，如</w:t>
      </w:r>
      <w:r>
        <w:rPr>
          <w:rFonts w:hint="eastAsia" w:ascii="楷体_GB2312" w:eastAsia="楷体_GB2312"/>
          <w:b/>
          <w:bCs/>
          <w:szCs w:val="21"/>
        </w:rPr>
        <w:t>理财产品的投资方向、风险类型及业绩比较基准（如有）等，</w:t>
      </w:r>
      <w:r>
        <w:rPr>
          <w:rFonts w:hint="eastAsia" w:ascii="楷体_GB2312" w:eastAsia="楷体_GB2312"/>
          <w:b/>
          <w:szCs w:val="21"/>
        </w:rPr>
        <w:t>特别是加粗、斜体、加框条款，若对本理财产品合同的内容有任何疑问，请向常熟农商银行营业网点咨询。</w:t>
      </w:r>
    </w:p>
    <w:p>
      <w:pPr>
        <w:snapToGrid w:val="0"/>
        <w:spacing w:line="360" w:lineRule="exact"/>
        <w:ind w:firstLine="422" w:firstLineChars="200"/>
        <w:rPr>
          <w:rFonts w:ascii="楷体_GB2312" w:eastAsia="楷体_GB2312"/>
          <w:b/>
          <w:szCs w:val="21"/>
        </w:rPr>
      </w:pPr>
      <w:r>
        <w:rPr>
          <w:rFonts w:hint="eastAsia" w:ascii="楷体_GB2312" w:eastAsia="楷体_GB2312"/>
          <w:b/>
          <w:szCs w:val="21"/>
        </w:rPr>
        <w:t>常熟农商银行有权依法对本产品说明书进行解释。</w:t>
      </w:r>
    </w:p>
    <w:p>
      <w:pPr>
        <w:snapToGrid w:val="0"/>
        <w:spacing w:line="360" w:lineRule="atLeast"/>
        <w:ind w:firstLine="420" w:firstLineChars="200"/>
        <w:rPr>
          <w:rFonts w:ascii="楷体_GB2312" w:eastAsia="楷体_GB2312"/>
        </w:rPr>
      </w:pPr>
    </w:p>
    <w:p>
      <w:pPr>
        <w:spacing w:line="360" w:lineRule="atLeast"/>
        <w:jc w:val="center"/>
        <w:rPr>
          <w:rFonts w:ascii="楷体_GB2312" w:hAnsi="Times New Roman" w:eastAsia="楷体_GB2312"/>
          <w:b/>
          <w:sz w:val="28"/>
        </w:rPr>
      </w:pPr>
      <w:r>
        <w:rPr>
          <w:rFonts w:hint="eastAsia" w:ascii="楷体_GB2312" w:hAnsi="Times New Roman" w:eastAsia="楷体_GB2312"/>
          <w:b/>
          <w:sz w:val="28"/>
        </w:rPr>
        <w:t>一、产品基本要素</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b/>
              </w:rPr>
            </w:pPr>
            <w:r>
              <w:rPr>
                <w:rFonts w:hint="eastAsia" w:ascii="楷体_GB2312" w:hAnsi="Times New Roman" w:eastAsia="楷体_GB2312"/>
                <w:b/>
              </w:rPr>
              <w:t>产品名称</w:t>
            </w:r>
          </w:p>
        </w:tc>
        <w:tc>
          <w:tcPr>
            <w:tcW w:w="6466" w:type="dxa"/>
            <w:vAlign w:val="top"/>
          </w:tcPr>
          <w:p>
            <w:pPr>
              <w:spacing w:line="360" w:lineRule="exact"/>
            </w:pPr>
            <w:r>
              <w:rPr>
                <w:rFonts w:hint="eastAsia" w:eastAsia="楷体_GB2312"/>
              </w:rPr>
              <w:t>常乐智享</w:t>
            </w:r>
            <w:r>
              <w:rPr>
                <w:rFonts w:hint="eastAsia" w:eastAsia="楷体_GB2312"/>
                <w:u w:val="single"/>
              </w:rPr>
              <w:t>一年期A款</w:t>
            </w:r>
            <w:r>
              <w:rPr>
                <w:rFonts w:hint="eastAsia" w:eastAsia="楷体_GB2312"/>
              </w:rPr>
              <w:t>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Times New Roman" w:hAnsi="Times New Roman" w:eastAsia="楷体_GB2312"/>
                <w:b/>
              </w:rPr>
              <w:t>理财信息登记系统产品编码</w:t>
            </w:r>
          </w:p>
        </w:tc>
        <w:tc>
          <w:tcPr>
            <w:tcW w:w="6466" w:type="dxa"/>
            <w:vAlign w:val="top"/>
          </w:tcPr>
          <w:p>
            <w:pPr>
              <w:spacing w:line="360" w:lineRule="exact"/>
              <w:rPr>
                <w:rFonts w:hint="eastAsia" w:ascii="TimesNewRomanPSMT" w:hAnsi="Times New Roman" w:eastAsia="TimesNewRomanPSMT" w:cs="TimesNewRomanPSMT"/>
                <w:kern w:val="0"/>
                <w:szCs w:val="21"/>
                <w:u w:val="single"/>
              </w:rPr>
            </w:pPr>
            <w:r>
              <w:rPr>
                <w:rFonts w:hint="eastAsia" w:ascii="TimesNewRomanPSMT" w:hAnsi="Times New Roman" w:eastAsia="TimesNewRomanPSMT" w:cs="TimesNewRomanPSMT"/>
                <w:kern w:val="0"/>
                <w:szCs w:val="21"/>
                <w:u w:val="single"/>
              </w:rPr>
              <w:t>C1115421000003</w:t>
            </w:r>
          </w:p>
          <w:p>
            <w:pPr>
              <w:spacing w:line="360" w:lineRule="exact"/>
              <w:rPr>
                <w:rFonts w:ascii="Times New Roman" w:hAnsi="Times New Roman" w:eastAsia="楷体_GB2312"/>
              </w:rPr>
            </w:pPr>
            <w:r>
              <w:rPr>
                <w:rFonts w:hint="eastAsia" w:ascii="Times New Roman" w:hAnsi="Times New Roman" w:eastAsia="楷体_GB2312"/>
              </w:rPr>
              <w:t>投资者可依据该登记编码在中国理财网（</w:t>
            </w:r>
            <w:r>
              <w:rPr>
                <w:rFonts w:ascii="Times New Roman" w:hAnsi="Times New Roman" w:eastAsia="楷体_GB2312"/>
              </w:rPr>
              <w:t>www.chinawealth.com.cn</w:t>
            </w:r>
            <w:r>
              <w:rPr>
                <w:rFonts w:hint="eastAsia" w:ascii="Times New Roman" w:hAnsi="Times New Roman" w:eastAsia="楷体_GB2312"/>
              </w:rPr>
              <w:t>）上查询产品信息。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产品编号</w:t>
            </w:r>
          </w:p>
        </w:tc>
        <w:tc>
          <w:tcPr>
            <w:tcW w:w="6466" w:type="dxa"/>
            <w:vAlign w:val="top"/>
          </w:tcPr>
          <w:p>
            <w:pPr>
              <w:spacing w:line="360" w:lineRule="exact"/>
              <w:rPr>
                <w:rFonts w:ascii="Times New Roman" w:hAnsi="Times New Roman" w:eastAsia="楷体_GB2312"/>
              </w:rPr>
            </w:pPr>
            <w:r>
              <w:rPr>
                <w:rFonts w:eastAsia="楷体_GB2312"/>
              </w:rPr>
              <w:t>CLZX12M</w:t>
            </w:r>
            <w:r>
              <w:rPr>
                <w:rFonts w:hint="eastAsia" w:eastAsia="楷体_GB2312"/>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产品类型</w:t>
            </w:r>
          </w:p>
        </w:tc>
        <w:tc>
          <w:tcPr>
            <w:tcW w:w="6466" w:type="dxa"/>
            <w:vAlign w:val="top"/>
          </w:tcPr>
          <w:p>
            <w:pPr>
              <w:spacing w:line="360" w:lineRule="exact"/>
              <w:rPr>
                <w:rFonts w:ascii="Times New Roman" w:hAnsi="Times New Roman" w:eastAsia="楷体_GB2312"/>
              </w:rPr>
            </w:pPr>
            <w:r>
              <w:rPr>
                <w:rFonts w:hint="eastAsia" w:ascii="楷体_GB2312" w:hAnsi="Times New Roman" w:eastAsia="楷体_GB2312"/>
                <w:b/>
                <w:bCs/>
              </w:rPr>
              <w:t>固定收益类</w:t>
            </w:r>
            <w:r>
              <w:rPr>
                <w:rFonts w:ascii="楷体_GB2312" w:hAnsi="Times New Roman" w:eastAsia="楷体_GB2312"/>
                <w:b/>
                <w:bCs/>
              </w:rPr>
              <w:t>,</w:t>
            </w:r>
            <w:r>
              <w:rPr>
                <w:rFonts w:hint="eastAsia" w:ascii="楷体_GB2312" w:hAnsi="Times New Roman" w:eastAsia="楷体_GB2312"/>
                <w:b/>
                <w:bCs/>
              </w:rPr>
              <w:t>开放式、非保本、净值型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56" w:type="dxa"/>
            <w:vAlign w:val="center"/>
          </w:tcPr>
          <w:p>
            <w:pPr>
              <w:rPr>
                <w:rFonts w:ascii="楷体_GB2312" w:hAnsi="Times New Roman" w:eastAsia="楷体_GB2312"/>
                <w:b/>
              </w:rPr>
            </w:pPr>
            <w:r>
              <w:rPr>
                <w:rFonts w:hint="eastAsia" w:ascii="Times New Roman" w:hAnsi="Times New Roman" w:eastAsia="楷体_GB2312"/>
                <w:b/>
              </w:rPr>
              <w:t>发行方式</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楷体_GB2312" w:hAnsi="Times New Roman" w:eastAsia="楷体_GB2312"/>
                <w:b/>
              </w:rPr>
            </w:pPr>
            <w:r>
              <w:rPr>
                <w:rFonts w:hint="eastAsia" w:ascii="楷体_GB2312" w:hAnsi="Times New Roman" w:eastAsia="楷体_GB2312"/>
                <w:b/>
              </w:rPr>
              <w:t>发行人</w:t>
            </w:r>
            <w:r>
              <w:rPr>
                <w:rFonts w:ascii="楷体_GB2312" w:hAnsi="Times New Roman" w:eastAsia="楷体_GB2312"/>
                <w:b/>
              </w:rPr>
              <w:t>/</w:t>
            </w:r>
            <w:r>
              <w:rPr>
                <w:rFonts w:hint="eastAsia" w:ascii="楷体_GB2312" w:hAnsi="Times New Roman" w:eastAsia="楷体_GB2312"/>
                <w:b/>
              </w:rPr>
              <w:t>管理人</w:t>
            </w:r>
          </w:p>
        </w:tc>
        <w:tc>
          <w:tcPr>
            <w:tcW w:w="6466" w:type="dxa"/>
            <w:vAlign w:val="top"/>
          </w:tcPr>
          <w:p>
            <w:pPr>
              <w:rPr>
                <w:rFonts w:ascii="Times New Roman" w:hAnsi="Times New Roman" w:eastAsia="楷体_GB2312"/>
              </w:rPr>
            </w:pPr>
            <w:r>
              <w:rPr>
                <w:rFonts w:hint="eastAsia" w:ascii="楷体_GB2312" w:hAnsi="Times New Roman" w:eastAsia="楷体_GB2312"/>
              </w:rPr>
              <w:t>常熟农商银行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楷体_GB2312" w:hAnsi="Times New Roman" w:eastAsia="楷体_GB2312"/>
                <w:b/>
              </w:rPr>
            </w:pPr>
            <w:r>
              <w:rPr>
                <w:rFonts w:hint="eastAsia" w:ascii="楷体_GB2312" w:hAnsi="Times New Roman" w:eastAsia="楷体_GB2312"/>
                <w:b/>
              </w:rPr>
              <w:t>托管人</w:t>
            </w:r>
          </w:p>
        </w:tc>
        <w:tc>
          <w:tcPr>
            <w:tcW w:w="6466" w:type="dxa"/>
            <w:vAlign w:val="top"/>
          </w:tcPr>
          <w:p>
            <w:pPr>
              <w:rPr>
                <w:rFonts w:ascii="Times New Roman" w:hAnsi="Times New Roman" w:eastAsia="楷体_GB2312"/>
              </w:rPr>
            </w:pPr>
            <w:r>
              <w:rPr>
                <w:rFonts w:hint="eastAsia" w:ascii="Times New Roman" w:hAnsi="Times New Roman" w:eastAsia="楷体_GB2312"/>
                <w:u w:val="single"/>
              </w:rPr>
              <w:t>招商银行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Times New Roman" w:hAnsi="Times New Roman" w:eastAsia="楷体_GB2312"/>
                <w:b/>
              </w:rPr>
              <w:t>募集币种</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楷体_GB2312" w:hAnsi="Times New Roman" w:eastAsia="楷体_GB2312"/>
                <w:b/>
              </w:rPr>
            </w:pPr>
            <w:r>
              <w:rPr>
                <w:rFonts w:hint="eastAsia" w:ascii="楷体_GB2312" w:hAnsi="Times New Roman" w:eastAsia="楷体_GB2312"/>
                <w:b/>
              </w:rPr>
              <w:t>单位份额面值</w:t>
            </w:r>
          </w:p>
        </w:tc>
        <w:tc>
          <w:tcPr>
            <w:tcW w:w="6466" w:type="dxa"/>
            <w:vAlign w:val="top"/>
          </w:tcPr>
          <w:p>
            <w:pPr>
              <w:rPr>
                <w:rFonts w:ascii="Times New Roman" w:hAnsi="Times New Roman" w:eastAsia="楷体_GB2312"/>
              </w:rPr>
            </w:pPr>
            <w:r>
              <w:rPr>
                <w:rFonts w:ascii="楷体_GB2312" w:hAnsi="Times New Roman" w:eastAsia="楷体_GB2312"/>
              </w:rPr>
              <w:t>1</w:t>
            </w:r>
            <w:r>
              <w:rPr>
                <w:rFonts w:hint="eastAsia" w:ascii="楷体_GB2312" w:hAnsi="Times New Roman" w:eastAsia="楷体_GB231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楷体_GB2312" w:hAnsi="Times New Roman" w:eastAsia="楷体_GB2312"/>
                <w:b/>
              </w:rPr>
            </w:pPr>
            <w:r>
              <w:rPr>
                <w:rFonts w:hint="eastAsia" w:ascii="楷体_GB2312" w:hAnsi="Times New Roman" w:eastAsia="楷体_GB2312"/>
                <w:b/>
              </w:rPr>
              <w:t>发行价格</w:t>
            </w:r>
          </w:p>
        </w:tc>
        <w:tc>
          <w:tcPr>
            <w:tcW w:w="6466" w:type="dxa"/>
            <w:vAlign w:val="top"/>
          </w:tcPr>
          <w:p>
            <w:pPr>
              <w:rPr>
                <w:rFonts w:ascii="Times New Roman" w:hAnsi="Times New Roman" w:eastAsia="楷体_GB2312"/>
              </w:rPr>
            </w:pPr>
            <w:r>
              <w:rPr>
                <w:rFonts w:ascii="楷体_GB2312" w:hAnsi="Times New Roman" w:eastAsia="楷体_GB2312"/>
              </w:rPr>
              <w:t>1</w:t>
            </w:r>
            <w:r>
              <w:rPr>
                <w:rFonts w:hint="eastAsia" w:ascii="楷体_GB2312" w:hAnsi="Times New Roman" w:eastAsia="楷体_GB2312"/>
              </w:rPr>
              <w:t>元</w:t>
            </w:r>
            <w:r>
              <w:rPr>
                <w:rFonts w:ascii="楷体_GB2312" w:hAnsi="Times New Roman" w:eastAsia="楷体_GB2312"/>
              </w:rPr>
              <w:t>/</w:t>
            </w:r>
            <w:r>
              <w:rPr>
                <w:rFonts w:hint="eastAsia" w:ascii="楷体_GB2312" w:hAnsi="Times New Roman" w:eastAsia="楷体_GB231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楷体_GB2312" w:hAnsi="Times New Roman" w:eastAsia="楷体_GB2312"/>
                <w:b/>
              </w:rPr>
              <w:t>业绩比较基准（</w:t>
            </w:r>
            <w:r>
              <w:rPr>
                <w:rFonts w:hint="eastAsia" w:ascii="楷体_GB2312" w:hAnsi="Times New Roman" w:eastAsia="楷体_GB2312"/>
                <w:b/>
                <w:lang w:eastAsia="zh-CN"/>
              </w:rPr>
              <w:t>年化</w:t>
            </w:r>
            <w:r>
              <w:rPr>
                <w:rFonts w:hint="eastAsia" w:ascii="楷体_GB2312" w:hAnsi="Times New Roman" w:eastAsia="楷体_GB2312"/>
                <w:b/>
              </w:rPr>
              <w:t>）</w:t>
            </w:r>
          </w:p>
        </w:tc>
        <w:tc>
          <w:tcPr>
            <w:tcW w:w="6466" w:type="dxa"/>
            <w:vAlign w:val="top"/>
          </w:tcPr>
          <w:p>
            <w:pPr>
              <w:spacing w:line="360" w:lineRule="exact"/>
              <w:rPr>
                <w:rFonts w:eastAsia="楷体_GB2312"/>
              </w:rPr>
            </w:pPr>
            <w:r>
              <w:rPr>
                <w:rFonts w:hint="eastAsia" w:eastAsia="楷体_GB2312"/>
              </w:rPr>
              <w:t>认购期及开放期内业绩比较基准详见</w:t>
            </w:r>
            <w:r>
              <w:rPr>
                <w:rFonts w:hint="eastAsia" w:eastAsia="楷体_GB2312"/>
                <w:lang w:eastAsia="zh-CN"/>
              </w:rPr>
              <w:t>常熟农商银行发布的公告</w:t>
            </w:r>
            <w:r>
              <w:rPr>
                <w:rFonts w:hint="eastAsia" w:eastAsia="楷体_GB2312"/>
              </w:rPr>
              <w:t>。</w:t>
            </w:r>
          </w:p>
          <w:p>
            <w:pPr>
              <w:widowControl/>
              <w:wordWrap/>
              <w:adjustRightInd/>
              <w:snapToGrid w:val="0"/>
              <w:spacing w:beforeLines="0" w:afterLines="0" w:line="360" w:lineRule="exact"/>
              <w:ind w:left="0" w:leftChars="0" w:right="0" w:firstLine="0" w:firstLineChars="0"/>
              <w:jc w:val="left"/>
              <w:textAlignment w:val="auto"/>
              <w:outlineLvl w:val="9"/>
              <w:rPr>
                <w:rFonts w:hint="eastAsia" w:ascii="Times New Roman" w:hAnsi="Times New Roman" w:eastAsia="楷体_GB2312" w:cs="Times New Roman"/>
                <w:lang w:eastAsia="zh-CN"/>
              </w:rPr>
            </w:pPr>
            <w:r>
              <w:rPr>
                <w:rFonts w:ascii="Times New Roman" w:hAnsi="Times New Roman" w:eastAsia="楷体_GB2312"/>
                <w:b/>
                <w:bCs/>
                <w:color w:val="000000"/>
              </w:rPr>
              <w:t>业绩比较基准的说明：</w:t>
            </w:r>
            <w:r>
              <w:rPr>
                <w:rFonts w:hint="eastAsia" w:ascii="Times New Roman" w:hAnsi="Times New Roman" w:eastAsia="楷体_GB2312" w:cs="Times New Roman"/>
                <w:lang w:eastAsia="zh-CN"/>
              </w:rPr>
              <w:t>本产品拟投资资产的比例</w:t>
            </w:r>
            <w:r>
              <w:rPr>
                <w:rFonts w:hint="eastAsia" w:ascii="Times New Roman" w:hAnsi="Times New Roman" w:eastAsia="楷体_GB2312"/>
              </w:rPr>
              <w:t>为存款、货币基金等现金类资产</w:t>
            </w:r>
            <w:r>
              <w:rPr>
                <w:rFonts w:hint="eastAsia" w:ascii="Times New Roman" w:hAnsi="Times New Roman" w:eastAsia="楷体_GB2312"/>
                <w:b w:val="0"/>
                <w:bCs w:val="0"/>
              </w:rPr>
              <w:t xml:space="preserve"> 0-30%</w:t>
            </w:r>
            <w:r>
              <w:rPr>
                <w:rFonts w:hint="eastAsia" w:ascii="Times New Roman" w:hAnsi="Times New Roman" w:eastAsia="楷体_GB2312"/>
              </w:rPr>
              <w:t>，债券资产、同业存单、同业拆借、回购、债券基金</w:t>
            </w:r>
            <w:r>
              <w:rPr>
                <w:rFonts w:hint="eastAsia" w:ascii="Times New Roman" w:hAnsi="Times New Roman" w:eastAsia="楷体_GB2312"/>
                <w:b w:val="0"/>
                <w:bCs w:val="0"/>
              </w:rPr>
              <w:t>30-100%</w:t>
            </w:r>
            <w:r>
              <w:rPr>
                <w:rFonts w:hint="eastAsia" w:ascii="Times New Roman" w:hAnsi="Times New Roman" w:eastAsia="楷体_GB2312"/>
              </w:rPr>
              <w:t>，同业借款、理财直融工具、债权融资计划及其他符合监管要求的债权类资产</w:t>
            </w:r>
            <w:r>
              <w:rPr>
                <w:rFonts w:hint="eastAsia" w:ascii="Times New Roman" w:hAnsi="Times New Roman" w:eastAsia="楷体_GB2312"/>
                <w:b w:val="0"/>
                <w:bCs w:val="0"/>
              </w:rPr>
              <w:t>0-20%</w:t>
            </w:r>
            <w:r>
              <w:rPr>
                <w:rFonts w:hint="eastAsia" w:ascii="Times New Roman" w:hAnsi="Times New Roman" w:eastAsia="楷体_GB2312"/>
              </w:rPr>
              <w:t>，股票型基金、混合型基金等权益类资产，以及金融衍生品等</w:t>
            </w:r>
            <w:r>
              <w:rPr>
                <w:rFonts w:hint="eastAsia" w:ascii="Times New Roman" w:hAnsi="Times New Roman" w:eastAsia="楷体_GB2312"/>
                <w:b w:val="0"/>
                <w:bCs w:val="0"/>
              </w:rPr>
              <w:t>0-20%</w:t>
            </w:r>
            <w:r>
              <w:rPr>
                <w:rFonts w:hint="eastAsia" w:ascii="Times New Roman" w:hAnsi="Times New Roman" w:eastAsia="楷体_GB2312" w:cs="Times New Roman"/>
                <w:lang w:eastAsia="zh-CN"/>
              </w:rPr>
              <w:t>，杠杆率不超</w:t>
            </w:r>
            <w:r>
              <w:rPr>
                <w:rFonts w:hint="eastAsia" w:ascii="Times New Roman" w:hAnsi="Times New Roman" w:eastAsia="楷体_GB2312" w:cs="Times New Roman"/>
                <w:lang w:val="en-US" w:eastAsia="zh-CN"/>
              </w:rPr>
              <w:t>140%，业绩比较基准参考市场利率水平和中国人民银行最新公布的金融机构人民币一年期定期存款基准利率水平，考虑拟投资资产的市场价格表现、波动幅度、在投资组合中的占比，预判在扣除固定管理费、托管费等相关费用后产品年化收益较为可能的波动幅度，并结合产品投资策略进行测算得出。（业绩比较基准测算仅供参考，具体投资比例可根据各类资产的收益水平、流动性特征、信用风险等因素动态调整，投资范围、投资策略详见以下“产品的投资范围和投资策略”）</w:t>
            </w:r>
          </w:p>
          <w:p>
            <w:pPr>
              <w:spacing w:line="360" w:lineRule="exact"/>
              <w:rPr>
                <w:rFonts w:ascii="Times New Roman" w:hAnsi="Times New Roman" w:eastAsia="楷体_GB2312"/>
              </w:rPr>
            </w:pPr>
            <w:r>
              <w:rPr>
                <w:rFonts w:hint="eastAsia" w:ascii="Times New Roman" w:hAnsi="Times New Roman" w:eastAsia="楷体_GB2312"/>
                <w:b/>
                <w:bCs/>
              </w:rPr>
              <w:t>本产品为净值型产品，其业绩表现将随市场波动，具有不确定性</w:t>
            </w:r>
            <w:r>
              <w:rPr>
                <w:rFonts w:hint="eastAsia" w:ascii="Times New Roman" w:hAnsi="Times New Roman" w:eastAsia="楷体_GB2312"/>
                <w:b/>
                <w:bCs/>
                <w:lang w:eastAsia="zh-CN"/>
              </w:rPr>
              <w:t>。</w:t>
            </w:r>
            <w:r>
              <w:rPr>
                <w:rFonts w:hint="eastAsia" w:ascii="Times New Roman" w:hAnsi="Times New Roman" w:eastAsia="楷体_GB2312" w:cs="Times New Roman"/>
                <w:b/>
                <w:bCs/>
                <w:lang w:eastAsia="zh-CN"/>
              </w:rPr>
              <w:t>本产品业绩比较基准是产品管理人基于产品性质、投资策略、过往经验等因素对产品设定的投资目标</w:t>
            </w:r>
            <w:r>
              <w:rPr>
                <w:rFonts w:hint="eastAsia" w:ascii="Times New Roman" w:hAnsi="Times New Roman" w:eastAsia="楷体_GB2312"/>
                <w:b/>
                <w:bCs/>
              </w:rPr>
              <w:t>，</w:t>
            </w:r>
            <w:r>
              <w:rPr>
                <w:rFonts w:hint="eastAsia" w:ascii="Times New Roman" w:hAnsi="Times New Roman" w:eastAsia="楷体_GB2312" w:cs="Times New Roman"/>
                <w:b/>
                <w:bCs/>
                <w:lang w:eastAsia="zh-CN"/>
              </w:rPr>
              <w:t>不代表本产品的未来表现和实际收益，</w:t>
            </w:r>
            <w:r>
              <w:rPr>
                <w:rFonts w:hint="eastAsia" w:ascii="Times New Roman" w:hAnsi="Times New Roman" w:eastAsia="楷体_GB2312"/>
                <w:b/>
                <w:bCs/>
              </w:rPr>
              <w:t>不构成常熟农商银行对本理财产品投资收益的承诺。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产品内部风险评级</w:t>
            </w:r>
          </w:p>
        </w:tc>
        <w:tc>
          <w:tcPr>
            <w:tcW w:w="6466" w:type="dxa"/>
            <w:vAlign w:val="top"/>
          </w:tcPr>
          <w:p>
            <w:pPr>
              <w:spacing w:line="360" w:lineRule="exact"/>
              <w:rPr>
                <w:rFonts w:ascii="Times New Roman" w:hAnsi="Times New Roman" w:eastAsia="楷体_GB2312"/>
              </w:rPr>
            </w:pPr>
            <w:r>
              <w:rPr>
                <w:rFonts w:hint="eastAsia" w:ascii="楷体_GB2312" w:eastAsia="楷体_GB2312"/>
                <w:b/>
                <w:bCs/>
              </w:rPr>
              <w:t>二级</w:t>
            </w:r>
            <w:r>
              <w:rPr>
                <w:rFonts w:hint="eastAsia" w:ascii="楷体_GB2312" w:eastAsia="楷体_GB2312"/>
              </w:rPr>
              <w:t>（本产品的风险评级仅是常熟农商银行内部测评结果，仅供投资者参考。）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募集对象</w:t>
            </w:r>
          </w:p>
        </w:tc>
        <w:tc>
          <w:tcPr>
            <w:tcW w:w="6466" w:type="dxa"/>
            <w:vAlign w:val="top"/>
          </w:tcPr>
          <w:p>
            <w:pPr>
              <w:spacing w:line="360" w:lineRule="exact"/>
              <w:rPr>
                <w:rFonts w:ascii="Times New Roman" w:hAnsi="Times New Roman" w:eastAsia="楷体_GB2312"/>
              </w:rPr>
            </w:pPr>
            <w:r>
              <w:rPr>
                <w:rFonts w:hint="eastAsia" w:eastAsia="楷体_GB2312"/>
              </w:rPr>
              <w:t>经常熟农商银行风险承受能力评估为</w:t>
            </w:r>
            <w:r>
              <w:rPr>
                <w:rFonts w:hint="eastAsia" w:eastAsia="楷体_GB2312"/>
                <w:b/>
              </w:rPr>
              <w:t>谨慎型、</w:t>
            </w:r>
            <w:r>
              <w:rPr>
                <w:rFonts w:hint="eastAsia" w:eastAsia="楷体_GB2312"/>
                <w:b/>
                <w:bCs/>
              </w:rPr>
              <w:t>稳健型、进取型、积极进取型的个人及机构投资者</w:t>
            </w:r>
            <w:r>
              <w:rPr>
                <w:rFonts w:hint="eastAsia" w:eastAsia="楷体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募集规模</w:t>
            </w:r>
          </w:p>
        </w:tc>
        <w:tc>
          <w:tcPr>
            <w:tcW w:w="6466" w:type="dxa"/>
            <w:vAlign w:val="top"/>
          </w:tcPr>
          <w:p>
            <w:pPr>
              <w:spacing w:line="360" w:lineRule="exact"/>
              <w:rPr>
                <w:rFonts w:ascii="Times New Roman" w:hAnsi="Times New Roman" w:eastAsia="楷体_GB2312"/>
              </w:rPr>
            </w:pPr>
            <w:r>
              <w:rPr>
                <w:rFonts w:hint="eastAsia" w:eastAsia="楷体_GB2312"/>
              </w:rPr>
              <w:t>募集下限是0.1亿元，募集上限是200亿元。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募集期</w:t>
            </w:r>
          </w:p>
        </w:tc>
        <w:tc>
          <w:tcPr>
            <w:tcW w:w="6466" w:type="dxa"/>
            <w:vAlign w:val="top"/>
          </w:tcPr>
          <w:p>
            <w:pPr>
              <w:spacing w:line="360" w:lineRule="exact"/>
              <w:rPr>
                <w:rFonts w:eastAsia="楷体_GB2312"/>
              </w:rPr>
            </w:pPr>
            <w:r>
              <w:rPr>
                <w:rFonts w:hint="eastAsia" w:eastAsia="楷体_GB2312"/>
                <w:b/>
                <w:szCs w:val="21"/>
                <w:u w:val="single"/>
              </w:rPr>
              <w:t>2021年1月13日</w:t>
            </w:r>
            <w:r>
              <w:rPr>
                <w:rFonts w:hint="eastAsia" w:eastAsia="楷体_GB2312"/>
                <w:b/>
                <w:u w:val="single"/>
              </w:rPr>
              <w:t>8:30至</w:t>
            </w:r>
            <w:r>
              <w:rPr>
                <w:rFonts w:hint="eastAsia" w:eastAsia="楷体_GB2312"/>
                <w:b/>
                <w:szCs w:val="21"/>
                <w:u w:val="single"/>
              </w:rPr>
              <w:t>2021年1月19日</w:t>
            </w:r>
            <w:r>
              <w:rPr>
                <w:rFonts w:hint="eastAsia" w:eastAsia="楷体_GB2312"/>
                <w:b/>
                <w:u w:val="single"/>
              </w:rPr>
              <w:t>20:30</w:t>
            </w:r>
            <w:r>
              <w:rPr>
                <w:rFonts w:hint="eastAsia" w:eastAsia="楷体_GB2312"/>
              </w:rPr>
              <w:t>（以银行系统时间为准）</w:t>
            </w:r>
          </w:p>
          <w:p>
            <w:pPr>
              <w:spacing w:line="360" w:lineRule="exact"/>
              <w:rPr>
                <w:rFonts w:eastAsia="楷体_GB2312"/>
              </w:rPr>
            </w:pPr>
            <w:r>
              <w:rPr>
                <w:rFonts w:hint="eastAsia" w:eastAsia="楷体_GB2312"/>
              </w:rPr>
              <w:t>募集期结束，若募集资金达到募集下限，则理财产品成立；否则，管理人有权选择理财产品不成立。若理财产品不成立，认购资金于原定产品成立日扣划后当日返还至投资者指定账户。</w:t>
            </w:r>
          </w:p>
          <w:p>
            <w:pPr>
              <w:spacing w:line="360" w:lineRule="exact"/>
              <w:rPr>
                <w:rFonts w:ascii="Times New Roman" w:hAnsi="Times New Roman" w:eastAsia="楷体_GB2312"/>
              </w:rPr>
            </w:pPr>
            <w:r>
              <w:rPr>
                <w:rFonts w:hint="eastAsia" w:eastAsia="楷体_GB2312"/>
              </w:rPr>
              <w:t>为保护投资者利益，常熟农商银行有权根据市场情况变化缩短或延长募集期并提前或推迟成立，产品提前或推迟成立时，常熟农商银行将调整相关日期并进行信息披露。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认购资金扣划</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募集期内，投资者理财资金冻结在投资者的指定账户，并在产品成立日统一扣收。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募集期的利息计算</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投资者理财资金在产品成立日之前按常熟农商银行公布的人民币活期储蓄存款利率计息，该等利息不作为认购资金扣收。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份额登记日</w:t>
            </w:r>
            <w:r>
              <w:rPr>
                <w:rFonts w:ascii="Times New Roman" w:hAnsi="Times New Roman" w:eastAsia="楷体_GB2312"/>
                <w:b/>
              </w:rPr>
              <w:t>/</w:t>
            </w:r>
            <w:r>
              <w:rPr>
                <w:rFonts w:hint="eastAsia" w:ascii="Times New Roman" w:hAnsi="Times New Roman" w:eastAsia="楷体_GB2312"/>
                <w:b/>
              </w:rPr>
              <w:t>产品成立日</w:t>
            </w:r>
          </w:p>
        </w:tc>
        <w:tc>
          <w:tcPr>
            <w:tcW w:w="6466" w:type="dxa"/>
            <w:vAlign w:val="top"/>
          </w:tcPr>
          <w:p>
            <w:pPr>
              <w:spacing w:line="360" w:lineRule="exact"/>
              <w:rPr>
                <w:rFonts w:ascii="Times New Roman" w:hAnsi="Times New Roman" w:eastAsia="楷体_GB2312"/>
              </w:rPr>
            </w:pPr>
            <w:r>
              <w:rPr>
                <w:rFonts w:eastAsia="楷体_GB2312"/>
                <w:b/>
                <w:bCs/>
                <w:u w:val="single"/>
              </w:rPr>
              <w:t>20</w:t>
            </w:r>
            <w:r>
              <w:rPr>
                <w:rFonts w:hint="eastAsia" w:eastAsia="楷体_GB2312"/>
                <w:b/>
                <w:bCs/>
                <w:u w:val="single"/>
              </w:rPr>
              <w:t>21年1月20日</w:t>
            </w:r>
            <w:r>
              <w:rPr>
                <w:rFonts w:hint="eastAsia" w:ascii="Times New Roman" w:hAnsi="Times New Roman" w:eastAsia="楷体_GB2312"/>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到期日</w:t>
            </w:r>
          </w:p>
        </w:tc>
        <w:tc>
          <w:tcPr>
            <w:tcW w:w="6466" w:type="dxa"/>
            <w:vAlign w:val="top"/>
          </w:tcPr>
          <w:p>
            <w:pPr>
              <w:spacing w:line="360" w:lineRule="exact"/>
              <w:rPr>
                <w:rFonts w:ascii="Times New Roman" w:hAnsi="Times New Roman" w:eastAsia="楷体_GB2312"/>
              </w:rPr>
            </w:pPr>
            <w:r>
              <w:rPr>
                <w:rFonts w:eastAsia="楷体_GB2312"/>
                <w:b/>
                <w:bCs/>
                <w:u w:val="single"/>
              </w:rPr>
              <w:t>20</w:t>
            </w:r>
            <w:r>
              <w:rPr>
                <w:rFonts w:hint="eastAsia" w:eastAsia="楷体_GB2312"/>
                <w:b/>
                <w:bCs/>
                <w:u w:val="single"/>
              </w:rPr>
              <w:t>41年1月20日</w:t>
            </w:r>
            <w:r>
              <w:rPr>
                <w:rFonts w:hint="eastAsia" w:ascii="Times New Roman" w:hAnsi="Times New Roman" w:eastAsia="楷体_GB2312"/>
              </w:rPr>
              <w:t>（如当天为非工作日，则顺延至下一个工作日）。可公告延期。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Times New Roman" w:hAnsi="Times New Roman" w:eastAsia="楷体_GB2312"/>
                <w:b/>
              </w:rPr>
            </w:pPr>
            <w:r>
              <w:rPr>
                <w:rFonts w:hint="eastAsia" w:ascii="Times New Roman" w:hAnsi="Times New Roman" w:eastAsia="楷体_GB2312"/>
                <w:b/>
              </w:rPr>
              <w:t>到期兑付日</w:t>
            </w:r>
          </w:p>
        </w:tc>
        <w:tc>
          <w:tcPr>
            <w:tcW w:w="6466" w:type="dxa"/>
            <w:vAlign w:val="top"/>
          </w:tcPr>
          <w:p>
            <w:pPr>
              <w:rPr>
                <w:rFonts w:ascii="Times New Roman" w:hAnsi="Times New Roman" w:eastAsia="楷体_GB2312"/>
              </w:rPr>
            </w:pPr>
            <w:r>
              <w:rPr>
                <w:rFonts w:hint="eastAsia" w:ascii="Times New Roman" w:hAnsi="Times New Roman" w:eastAsia="楷体_GB2312"/>
              </w:rPr>
              <w:t>本产品本金与收益（如有）将于产品到期日或提前终止日后一次性支付，最迟于产品清算完成后两个工作日内到账。</w:t>
            </w:r>
          </w:p>
          <w:p>
            <w:pPr>
              <w:rPr>
                <w:rFonts w:ascii="Times New Roman" w:hAnsi="Times New Roman" w:eastAsia="楷体_GB2312"/>
              </w:rPr>
            </w:pPr>
            <w:r>
              <w:rPr>
                <w:rFonts w:hint="eastAsia" w:ascii="Times New Roman" w:hAnsi="Times New Roman" w:eastAsia="楷体_GB2312"/>
              </w:rPr>
              <w:t>产品到期日</w:t>
            </w:r>
            <w:r>
              <w:rPr>
                <w:rFonts w:ascii="Times New Roman" w:hAnsi="Times New Roman" w:eastAsia="楷体_GB2312"/>
              </w:rPr>
              <w:t>/</w:t>
            </w:r>
            <w:r>
              <w:rPr>
                <w:rFonts w:hint="eastAsia" w:ascii="Times New Roman" w:hAnsi="Times New Roman" w:eastAsia="楷体_GB2312"/>
              </w:rPr>
              <w:t>提前终止日至资金到账日期间，投资者资金不计付利息。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Times New Roman" w:hAnsi="Times New Roman" w:eastAsia="楷体_GB2312"/>
                <w:b/>
              </w:rPr>
            </w:pPr>
            <w:r>
              <w:rPr>
                <w:rFonts w:hint="eastAsia" w:ascii="Times New Roman" w:hAnsi="Times New Roman" w:eastAsia="楷体_GB2312"/>
                <w:b/>
              </w:rPr>
              <w:t>认购</w:t>
            </w:r>
          </w:p>
        </w:tc>
        <w:tc>
          <w:tcPr>
            <w:tcW w:w="6466" w:type="dxa"/>
            <w:vAlign w:val="top"/>
          </w:tcPr>
          <w:p>
            <w:pPr>
              <w:rPr>
                <w:rFonts w:ascii="Times New Roman" w:hAnsi="Times New Roman" w:eastAsia="楷体_GB2312"/>
              </w:rPr>
            </w:pPr>
            <w:r>
              <w:rPr>
                <w:rFonts w:hint="eastAsia" w:ascii="Times New Roman" w:hAnsi="Times New Roman" w:eastAsia="楷体_GB2312"/>
              </w:rPr>
              <w:t>指在本产品募集期内，投资者按产品合同约定申请购买本产品的行为。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Times New Roman" w:hAnsi="Times New Roman" w:eastAsia="楷体_GB2312"/>
                <w:b/>
              </w:rPr>
            </w:pPr>
            <w:r>
              <w:rPr>
                <w:rFonts w:hint="eastAsia" w:ascii="Times New Roman" w:hAnsi="Times New Roman" w:eastAsia="楷体_GB2312"/>
                <w:b/>
              </w:rPr>
              <w:t>申购</w:t>
            </w:r>
          </w:p>
        </w:tc>
        <w:tc>
          <w:tcPr>
            <w:tcW w:w="6466" w:type="dxa"/>
            <w:vAlign w:val="top"/>
          </w:tcPr>
          <w:p>
            <w:pPr>
              <w:rPr>
                <w:rFonts w:ascii="Times New Roman" w:hAnsi="Times New Roman" w:eastAsia="楷体_GB2312"/>
              </w:rPr>
            </w:pPr>
            <w:r>
              <w:rPr>
                <w:rFonts w:hint="eastAsia" w:ascii="Times New Roman" w:hAnsi="Times New Roman" w:eastAsia="楷体_GB2312"/>
              </w:rPr>
              <w:t>指在本产品开放期内，投资者按产品合同约定申请购买本产品的行为。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top"/>
          </w:tcPr>
          <w:p>
            <w:pPr>
              <w:rPr>
                <w:rFonts w:ascii="Times New Roman" w:hAnsi="Times New Roman" w:eastAsia="楷体_GB2312"/>
                <w:b/>
              </w:rPr>
            </w:pPr>
            <w:r>
              <w:rPr>
                <w:rFonts w:hint="eastAsia" w:ascii="Times New Roman" w:hAnsi="Times New Roman" w:eastAsia="楷体_GB2312"/>
                <w:b/>
              </w:rPr>
              <w:t>认购</w:t>
            </w:r>
            <w:r>
              <w:rPr>
                <w:rFonts w:ascii="Times New Roman" w:hAnsi="Times New Roman" w:eastAsia="楷体_GB2312"/>
                <w:b/>
              </w:rPr>
              <w:t>/</w:t>
            </w:r>
            <w:r>
              <w:rPr>
                <w:rFonts w:hint="eastAsia" w:ascii="Times New Roman" w:hAnsi="Times New Roman" w:eastAsia="楷体_GB2312"/>
                <w:b/>
              </w:rPr>
              <w:t>申购起点金额</w:t>
            </w:r>
          </w:p>
        </w:tc>
        <w:tc>
          <w:tcPr>
            <w:tcW w:w="6466" w:type="dxa"/>
            <w:vAlign w:val="top"/>
          </w:tcPr>
          <w:p>
            <w:pPr>
              <w:rPr>
                <w:rFonts w:eastAsia="楷体_GB2312"/>
                <w:bCs/>
                <w:szCs w:val="21"/>
              </w:rPr>
            </w:pPr>
            <w:r>
              <w:rPr>
                <w:rFonts w:ascii="Times New Roman" w:hAnsi="Times New Roman" w:eastAsia="楷体_GB2312"/>
                <w:u w:val="single"/>
              </w:rPr>
              <w:t>10,000.00</w:t>
            </w:r>
            <w:r>
              <w:rPr>
                <w:rFonts w:hint="eastAsia" w:ascii="Times New Roman" w:hAnsi="Times New Roman" w:eastAsia="楷体_GB2312"/>
              </w:rPr>
              <w:t>元；超出认购</w:t>
            </w:r>
            <w:r>
              <w:rPr>
                <w:rFonts w:ascii="Times New Roman" w:hAnsi="Times New Roman" w:eastAsia="楷体_GB2312"/>
              </w:rPr>
              <w:t>/</w:t>
            </w:r>
            <w:r>
              <w:rPr>
                <w:rFonts w:hint="eastAsia" w:ascii="Times New Roman" w:hAnsi="Times New Roman" w:eastAsia="楷体_GB2312"/>
              </w:rPr>
              <w:t>申购起点部分须为人民币</w:t>
            </w:r>
            <w:r>
              <w:rPr>
                <w:rFonts w:ascii="Times New Roman" w:hAnsi="Times New Roman" w:eastAsia="楷体_GB2312"/>
                <w:u w:val="single"/>
              </w:rPr>
              <w:t>1000.00</w:t>
            </w:r>
            <w:r>
              <w:rPr>
                <w:rFonts w:hint="eastAsia" w:ascii="Times New Roman" w:hAnsi="Times New Roman" w:eastAsia="楷体_GB2312"/>
              </w:rPr>
              <w:t>元或</w:t>
            </w:r>
            <w:r>
              <w:rPr>
                <w:rFonts w:ascii="Times New Roman" w:hAnsi="Times New Roman" w:eastAsia="楷体_GB2312"/>
                <w:u w:val="single"/>
              </w:rPr>
              <w:t>1000.00</w:t>
            </w:r>
            <w:r>
              <w:rPr>
                <w:rFonts w:hint="eastAsia" w:ascii="Times New Roman" w:hAnsi="Times New Roman" w:eastAsia="楷体_GB2312"/>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楷体_GB2312" w:hAnsi="Times New Roman" w:eastAsia="楷体_GB2312"/>
                <w:b/>
              </w:rPr>
              <w:t>追加购买最低金额</w:t>
            </w:r>
          </w:p>
        </w:tc>
        <w:tc>
          <w:tcPr>
            <w:tcW w:w="6466" w:type="dxa"/>
            <w:vAlign w:val="top"/>
          </w:tcPr>
          <w:p>
            <w:pPr>
              <w:rPr>
                <w:rFonts w:eastAsia="楷体_GB2312"/>
                <w:bCs/>
                <w:szCs w:val="21"/>
              </w:rPr>
            </w:pPr>
            <w:r>
              <w:rPr>
                <w:rFonts w:ascii="Times New Roman" w:hAnsi="Times New Roman" w:eastAsia="楷体_GB2312"/>
                <w:u w:val="single"/>
              </w:rPr>
              <w:t>1000</w:t>
            </w:r>
            <w:r>
              <w:rPr>
                <w:rFonts w:hint="eastAsia" w:ascii="Times New Roman" w:hAnsi="Times New Roman" w:eastAsia="楷体_GB2312"/>
              </w:rPr>
              <w:t>元，以</w:t>
            </w:r>
            <w:r>
              <w:rPr>
                <w:rFonts w:ascii="Times New Roman" w:hAnsi="Times New Roman" w:eastAsia="楷体_GB2312"/>
                <w:u w:val="single"/>
              </w:rPr>
              <w:t>1000</w:t>
            </w:r>
            <w:r>
              <w:rPr>
                <w:rFonts w:hint="eastAsia" w:ascii="Times New Roman" w:hAnsi="Times New Roman" w:eastAsia="楷体_GB2312"/>
              </w:rPr>
              <w:t>元的整数倍追加。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单一投资者最大认购/申购金额</w:t>
            </w:r>
          </w:p>
        </w:tc>
        <w:tc>
          <w:tcPr>
            <w:tcW w:w="6466" w:type="dxa"/>
            <w:vAlign w:val="top"/>
          </w:tcPr>
          <w:p>
            <w:pPr>
              <w:rPr>
                <w:rFonts w:ascii="Times New Roman" w:hAnsi="Times New Roman" w:eastAsia="楷体_GB2312"/>
                <w:u w:val="single"/>
              </w:rPr>
            </w:pPr>
            <w:r>
              <w:rPr>
                <w:rFonts w:hint="eastAsia" w:ascii="Times New Roman" w:hAnsi="Times New Roman" w:eastAsia="楷体_GB2312"/>
              </w:rPr>
              <w:t>本产品不对单一投资者设最大认购/申购金额限制。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56" w:type="dxa"/>
            <w:vAlign w:val="top"/>
          </w:tcPr>
          <w:p>
            <w:pPr>
              <w:rPr>
                <w:rFonts w:ascii="Times New Roman" w:hAnsi="Times New Roman" w:eastAsia="楷体_GB2312"/>
                <w:b/>
              </w:rPr>
            </w:pPr>
            <w:r>
              <w:rPr>
                <w:rFonts w:hint="eastAsia" w:ascii="Times New Roman" w:hAnsi="Times New Roman" w:eastAsia="楷体_GB2312"/>
                <w:b/>
              </w:rPr>
              <w:t>认购份额</w:t>
            </w:r>
          </w:p>
        </w:tc>
        <w:tc>
          <w:tcPr>
            <w:tcW w:w="6466" w:type="dxa"/>
            <w:vAlign w:val="top"/>
          </w:tcPr>
          <w:p>
            <w:pPr>
              <w:rPr>
                <w:rFonts w:ascii="Times New Roman" w:hAnsi="Times New Roman" w:eastAsia="楷体_GB2312"/>
              </w:rPr>
            </w:pPr>
            <w:r>
              <w:rPr>
                <w:rFonts w:hint="eastAsia" w:ascii="Times New Roman" w:hAnsi="Times New Roman" w:eastAsia="楷体_GB2312"/>
              </w:rPr>
              <w:t>认购份额＝认购金额</w:t>
            </w:r>
            <w:r>
              <w:rPr>
                <w:rFonts w:ascii="Times New Roman" w:hAnsi="Times New Roman" w:eastAsia="楷体_GB2312"/>
              </w:rPr>
              <w:t>/1</w:t>
            </w:r>
            <w:r>
              <w:rPr>
                <w:rFonts w:hint="eastAsia" w:ascii="Times New Roman" w:hAnsi="Times New Roman" w:eastAsia="楷体_GB2312"/>
              </w:rPr>
              <w:t>元</w:t>
            </w:r>
          </w:p>
          <w:p>
            <w:pPr>
              <w:rPr>
                <w:rFonts w:eastAsia="楷体_GB2312"/>
                <w:bCs/>
                <w:szCs w:val="21"/>
              </w:rPr>
            </w:pPr>
            <w:r>
              <w:rPr>
                <w:rFonts w:hint="eastAsia" w:ascii="Times New Roman" w:hAnsi="Times New Roman" w:eastAsia="楷体_GB2312"/>
              </w:rPr>
              <w:t>投资者实际认购份额以常熟农商银行完成认购登记后确认的份额为准。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楷体_GB2312" w:hAnsi="Times New Roman" w:eastAsia="楷体_GB2312"/>
                <w:b/>
              </w:rPr>
              <w:t>申购份额</w:t>
            </w:r>
          </w:p>
        </w:tc>
        <w:tc>
          <w:tcPr>
            <w:tcW w:w="6466" w:type="dxa"/>
            <w:vAlign w:val="top"/>
          </w:tcPr>
          <w:p>
            <w:pPr>
              <w:rPr>
                <w:rFonts w:ascii="Times New Roman" w:hAnsi="Times New Roman" w:eastAsia="楷体_GB2312"/>
              </w:rPr>
            </w:pPr>
            <w:r>
              <w:rPr>
                <w:rFonts w:hint="eastAsia" w:eastAsia="楷体_GB2312"/>
              </w:rPr>
              <w:t>申购金额</w:t>
            </w:r>
            <w:r>
              <w:rPr>
                <w:rFonts w:eastAsia="楷体_GB2312"/>
              </w:rPr>
              <w:t>/</w:t>
            </w:r>
            <w:r>
              <w:rPr>
                <w:rFonts w:hint="eastAsia" w:eastAsia="楷体_GB2312"/>
              </w:rPr>
              <w:t>申购结束日</w:t>
            </w:r>
            <w:r>
              <w:rPr>
                <w:rFonts w:hint="eastAsia" w:ascii="Times New Roman" w:hAnsi="Times New Roman" w:eastAsia="楷体_GB2312"/>
              </w:rPr>
              <w:t>日终产品单位净值，精确到小数点后两位（四舍五入）。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eastAsia="楷体_GB2312"/>
                <w:b/>
              </w:rPr>
              <w:t>赎回规定</w:t>
            </w:r>
          </w:p>
        </w:tc>
        <w:tc>
          <w:tcPr>
            <w:tcW w:w="6466" w:type="dxa"/>
            <w:vAlign w:val="top"/>
          </w:tcPr>
          <w:p>
            <w:pPr>
              <w:rPr>
                <w:rFonts w:ascii="楷体_GB2312" w:eastAsia="楷体_GB2312"/>
              </w:rPr>
            </w:pPr>
            <w:r>
              <w:rPr>
                <w:rFonts w:hint="eastAsia" w:ascii="楷体_GB2312" w:eastAsia="楷体_GB2312"/>
              </w:rPr>
              <w:t>本产品不设大额赎回条款，无赎回费用。</w:t>
            </w:r>
          </w:p>
          <w:p>
            <w:pPr>
              <w:rPr>
                <w:rFonts w:ascii="楷体_GB2312" w:eastAsia="楷体_GB2312"/>
              </w:rPr>
            </w:pPr>
            <w:r>
              <w:rPr>
                <w:rFonts w:hint="eastAsia" w:ascii="楷体_GB2312" w:eastAsia="楷体_GB2312"/>
                <w:b/>
                <w:bCs/>
              </w:rPr>
              <w:t>投资者赎回采取份额全额自动赎回，到期赎回当日由系统自动发起，投资者无需主动提交赎回申请。</w:t>
            </w:r>
            <w:r>
              <w:rPr>
                <w:rFonts w:hint="eastAsia" w:ascii="楷体_GB2312" w:eastAsia="楷体_GB2312"/>
              </w:rPr>
              <w:t>投资者份额赎回时产品单位净值取份额赎回日前一日产品单位净值。</w:t>
            </w:r>
          </w:p>
          <w:p>
            <w:pPr>
              <w:rPr>
                <w:rFonts w:ascii="楷体_GB2312" w:eastAsia="楷体_GB2312"/>
              </w:rPr>
            </w:pPr>
            <w:r>
              <w:rPr>
                <w:rFonts w:hint="eastAsia" w:ascii="楷体_GB2312" w:eastAsia="楷体_GB2312"/>
              </w:rPr>
              <w:t>本产品自投资者持有产品份额到期之日（即份额赎回日）由管理人自动赎回，份额赎回日由</w:t>
            </w:r>
            <w:r>
              <w:rPr>
                <w:rFonts w:hint="eastAsia" w:eastAsia="楷体_GB2312"/>
              </w:rPr>
              <w:t>产品管理人另行公布的《产品开放申购要素表》确定。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赎回金额</w:t>
            </w:r>
          </w:p>
        </w:tc>
        <w:tc>
          <w:tcPr>
            <w:tcW w:w="6466" w:type="dxa"/>
            <w:vAlign w:val="top"/>
          </w:tcPr>
          <w:p>
            <w:pPr>
              <w:rPr>
                <w:rFonts w:ascii="Times New Roman" w:hAnsi="Times New Roman" w:eastAsia="楷体_GB2312"/>
              </w:rPr>
            </w:pPr>
            <w:r>
              <w:rPr>
                <w:rFonts w:hint="eastAsia" w:ascii="Times New Roman" w:hAnsi="Times New Roman" w:eastAsia="楷体_GB2312"/>
                <w:bCs/>
              </w:rPr>
              <w:t>赎回金额＝赎回份额×赎回日前一日产品单位净值。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募集期</w:t>
            </w:r>
            <w:r>
              <w:rPr>
                <w:rFonts w:ascii="楷体_GB2312" w:hAnsi="Times New Roman" w:eastAsia="楷体_GB2312"/>
                <w:b/>
              </w:rPr>
              <w:t>/</w:t>
            </w:r>
            <w:r>
              <w:rPr>
                <w:rFonts w:hint="eastAsia" w:ascii="楷体_GB2312" w:hAnsi="Times New Roman" w:eastAsia="楷体_GB2312"/>
                <w:b/>
              </w:rPr>
              <w:t>开放期是否允许撤单</w:t>
            </w:r>
          </w:p>
        </w:tc>
        <w:tc>
          <w:tcPr>
            <w:tcW w:w="6466" w:type="dxa"/>
            <w:vAlign w:val="top"/>
          </w:tcPr>
          <w:p>
            <w:pPr>
              <w:rPr>
                <w:rFonts w:ascii="Times New Roman" w:hAnsi="Times New Roman" w:eastAsia="楷体_GB2312"/>
                <w:bCs/>
              </w:rPr>
            </w:pPr>
            <w:r>
              <w:rPr>
                <w:rFonts w:hint="eastAsia" w:ascii="Times New Roman" w:hAnsi="Times New Roman" w:eastAsia="楷体_GB2312"/>
                <w:bC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单位净值</w:t>
            </w:r>
          </w:p>
        </w:tc>
        <w:tc>
          <w:tcPr>
            <w:tcW w:w="6466" w:type="dxa"/>
            <w:vAlign w:val="top"/>
          </w:tcPr>
          <w:p>
            <w:pPr>
              <w:spacing w:line="360" w:lineRule="exact"/>
              <w:rPr>
                <w:rFonts w:ascii="Times New Roman" w:hAnsi="Times New Roman" w:eastAsia="楷体_GB2312"/>
                <w:bCs/>
              </w:rPr>
            </w:pPr>
            <w:r>
              <w:rPr>
                <w:rFonts w:hint="eastAsia" w:ascii="Times New Roman" w:hAnsi="Times New Roman" w:eastAsia="楷体_GB2312"/>
                <w:bCs/>
              </w:rPr>
              <w:t>指提取相关费用后的单位理财产品份额净值，投资者按该单位净值进行申购、赎回和终止时的分配。</w:t>
            </w:r>
          </w:p>
          <w:p>
            <w:pPr>
              <w:spacing w:line="360" w:lineRule="exact"/>
              <w:rPr>
                <w:rFonts w:ascii="Times New Roman" w:hAnsi="Times New Roman" w:eastAsia="楷体_GB2312"/>
                <w:bCs/>
              </w:rPr>
            </w:pPr>
            <w:r>
              <w:rPr>
                <w:rFonts w:hint="eastAsia" w:eastAsia="楷体_GB2312"/>
                <w:szCs w:val="21"/>
              </w:rPr>
              <w:t>其计算公式为：产品单位净值</w:t>
            </w:r>
            <w:r>
              <w:rPr>
                <w:rFonts w:eastAsia="楷体_GB2312"/>
                <w:szCs w:val="21"/>
              </w:rPr>
              <w:t>=</w:t>
            </w:r>
            <w:r>
              <w:rPr>
                <w:rFonts w:hint="eastAsia" w:eastAsia="楷体_GB2312"/>
                <w:szCs w:val="21"/>
              </w:rPr>
              <w:t>产品资产净值</w:t>
            </w:r>
            <w:r>
              <w:rPr>
                <w:rFonts w:eastAsia="楷体_GB2312"/>
                <w:szCs w:val="21"/>
              </w:rPr>
              <w:t>/</w:t>
            </w:r>
            <w:r>
              <w:rPr>
                <w:rFonts w:hint="eastAsia" w:eastAsia="楷体_GB2312"/>
                <w:szCs w:val="21"/>
              </w:rPr>
              <w:t>产品总份额。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eastAsia="楷体_GB2312"/>
                <w:b/>
                <w:bCs/>
              </w:rPr>
              <w:t>产品开放时间</w:t>
            </w:r>
          </w:p>
        </w:tc>
        <w:tc>
          <w:tcPr>
            <w:tcW w:w="6466" w:type="dxa"/>
            <w:vAlign w:val="top"/>
          </w:tcPr>
          <w:p>
            <w:pPr>
              <w:spacing w:line="360" w:lineRule="exact"/>
              <w:rPr>
                <w:rFonts w:eastAsia="楷体_GB2312"/>
              </w:rPr>
            </w:pPr>
            <w:r>
              <w:rPr>
                <w:rFonts w:eastAsia="楷体_GB2312"/>
                <w:b/>
                <w:bCs/>
              </w:rPr>
              <w:t>20</w:t>
            </w:r>
            <w:r>
              <w:rPr>
                <w:rFonts w:hint="eastAsia" w:eastAsia="楷体_GB2312"/>
                <w:b/>
                <w:bCs/>
              </w:rPr>
              <w:t>21年1月20日起投资者可提出申购申请</w:t>
            </w:r>
            <w:r>
              <w:rPr>
                <w:rFonts w:hint="eastAsia" w:eastAsia="楷体_GB2312"/>
              </w:rPr>
              <w:t>。投资者提出申购申请后，投资者资金将会冻结在投资者资金账户。投资者申购申请为预受理状态，投资者可在申购结束日</w:t>
            </w:r>
            <w:r>
              <w:rPr>
                <w:rFonts w:eastAsia="楷体_GB2312"/>
                <w:u w:val="single"/>
              </w:rPr>
              <w:t xml:space="preserve"> 20</w:t>
            </w:r>
            <w:r>
              <w:rPr>
                <w:rFonts w:hint="eastAsia" w:eastAsia="楷体_GB2312"/>
                <w:u w:val="single"/>
              </w:rPr>
              <w:t>：</w:t>
            </w:r>
            <w:r>
              <w:rPr>
                <w:rFonts w:eastAsia="楷体_GB2312"/>
                <w:u w:val="single"/>
              </w:rPr>
              <w:t>30</w:t>
            </w:r>
            <w:r>
              <w:rPr>
                <w:rFonts w:hint="eastAsia" w:eastAsia="楷体_GB2312"/>
              </w:rPr>
              <w:t>前通过撤单交易，取消申购申请。</w:t>
            </w:r>
          </w:p>
          <w:p>
            <w:pPr>
              <w:spacing w:line="360" w:lineRule="exact"/>
              <w:rPr>
                <w:rFonts w:eastAsia="楷体_GB2312"/>
              </w:rPr>
            </w:pPr>
            <w:r>
              <w:rPr>
                <w:rFonts w:hint="eastAsia" w:eastAsia="楷体_GB2312"/>
                <w:b/>
                <w:bCs/>
              </w:rPr>
              <w:t>申购起始日与申购结束日由产品管理人另行公布的《产品开放申购要素表》确定。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申购/赎回规则</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本产品采用金额申购、份额赎回原则，即申购以金额申请，赎回以份额申请。申购与赎回价格以</w:t>
            </w:r>
            <w:r>
              <w:rPr>
                <w:rFonts w:ascii="Times New Roman" w:hAnsi="Times New Roman" w:eastAsia="楷体_GB2312"/>
              </w:rPr>
              <w:t>"</w:t>
            </w:r>
            <w:r>
              <w:rPr>
                <w:rFonts w:hint="eastAsia" w:ascii="Times New Roman" w:hAnsi="Times New Roman" w:eastAsia="楷体_GB2312"/>
              </w:rPr>
              <w:t>未知价原则</w:t>
            </w:r>
            <w:r>
              <w:rPr>
                <w:rFonts w:ascii="Times New Roman" w:hAnsi="Times New Roman" w:eastAsia="楷体_GB2312"/>
              </w:rPr>
              <w:t>"</w:t>
            </w:r>
            <w:r>
              <w:rPr>
                <w:rFonts w:hint="eastAsia" w:ascii="Times New Roman" w:hAnsi="Times New Roman" w:eastAsia="楷体_GB2312"/>
              </w:rPr>
              <w:t>受理申请，即</w:t>
            </w:r>
            <w:r>
              <w:rPr>
                <w:rFonts w:hint="eastAsia" w:ascii="楷体_GB2312" w:eastAsia="楷体_GB2312"/>
              </w:rPr>
              <w:t>申购结束日</w:t>
            </w:r>
            <w:r>
              <w:rPr>
                <w:rFonts w:ascii="楷体_GB2312" w:eastAsia="楷体_GB2312"/>
              </w:rPr>
              <w:t>(T</w:t>
            </w:r>
            <w:r>
              <w:rPr>
                <w:rFonts w:hint="eastAsia" w:ascii="楷体_GB2312" w:eastAsia="楷体_GB2312"/>
              </w:rPr>
              <w:t>日</w:t>
            </w:r>
            <w:r>
              <w:rPr>
                <w:rFonts w:ascii="楷体_GB2312" w:eastAsia="楷体_GB2312"/>
              </w:rPr>
              <w:t>)</w:t>
            </w:r>
            <w:r>
              <w:rPr>
                <w:rFonts w:hint="eastAsia" w:ascii="Times New Roman" w:hAnsi="Times New Roman" w:eastAsia="楷体_GB2312"/>
              </w:rPr>
              <w:t>产品单位净值为基准进行计算。</w:t>
            </w:r>
          </w:p>
          <w:p>
            <w:pPr>
              <w:spacing w:line="360" w:lineRule="exact"/>
              <w:rPr>
                <w:rFonts w:ascii="Times New Roman" w:hAnsi="Times New Roman" w:eastAsia="楷体_GB2312"/>
              </w:rPr>
            </w:pPr>
            <w:r>
              <w:rPr>
                <w:rFonts w:hint="eastAsia" w:eastAsia="楷体_GB2312"/>
              </w:rPr>
              <w:t>投资者理财资金在扣划之前按常熟农商银行公布的人民币活期储蓄存款利率计息，该等利息不作为申购资金扣收。</w:t>
            </w:r>
          </w:p>
          <w:p>
            <w:pPr>
              <w:spacing w:line="360" w:lineRule="exact"/>
              <w:rPr>
                <w:rFonts w:ascii="Times New Roman" w:hAnsi="Times New Roman" w:eastAsia="楷体_GB2312"/>
              </w:rPr>
            </w:pPr>
            <w:r>
              <w:rPr>
                <w:rFonts w:hint="eastAsia" w:ascii="Times New Roman" w:hAnsi="Times New Roman" w:eastAsia="楷体_GB2312"/>
              </w:rPr>
              <w:t>产品管理人有权单方面更改上述原则，但应最迟在新的原则实施前三个工作日予以公告。</w:t>
            </w:r>
          </w:p>
          <w:p>
            <w:pPr>
              <w:spacing w:line="360" w:lineRule="exact"/>
              <w:rPr>
                <w:rFonts w:ascii="Times New Roman" w:hAnsi="Times New Roman" w:eastAsia="楷体_GB2312"/>
              </w:rPr>
            </w:pPr>
            <w:r>
              <w:rPr>
                <w:rFonts w:hint="eastAsia" w:ascii="Times New Roman" w:hAnsi="Times New Roman" w:eastAsia="楷体_GB2312"/>
              </w:rPr>
              <w:t>与申购、赎回相关的其他内容详见本产品说明书第三部分“产品的申购、赎回及发行计划”。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申购确认</w:t>
            </w:r>
          </w:p>
        </w:tc>
        <w:tc>
          <w:tcPr>
            <w:tcW w:w="6466" w:type="dxa"/>
            <w:vAlign w:val="top"/>
          </w:tcPr>
          <w:p>
            <w:pPr>
              <w:spacing w:line="360" w:lineRule="exact"/>
              <w:rPr>
                <w:rFonts w:ascii="Times New Roman" w:hAnsi="Times New Roman" w:eastAsia="楷体_GB2312"/>
              </w:rPr>
            </w:pPr>
            <w:r>
              <w:rPr>
                <w:rFonts w:hint="eastAsia" w:eastAsia="楷体_GB2312"/>
              </w:rPr>
              <w:t>产品管理人在</w:t>
            </w:r>
            <w:r>
              <w:rPr>
                <w:rFonts w:hint="eastAsia" w:ascii="楷体_GB2312" w:eastAsia="楷体_GB2312"/>
              </w:rPr>
              <w:t>申购结束日</w:t>
            </w:r>
            <w:r>
              <w:rPr>
                <w:rFonts w:hint="eastAsia" w:eastAsia="楷体_GB2312"/>
              </w:rPr>
              <w:t>后一工作日处理申购开放期业务办理时间段内收到申购申请，并对该交易的有效性进行确认并扣款，投资者可在</w:t>
            </w:r>
            <w:r>
              <w:rPr>
                <w:rFonts w:eastAsia="楷体_GB2312"/>
              </w:rPr>
              <w:t>T+3</w:t>
            </w:r>
            <w:r>
              <w:rPr>
                <w:rFonts w:hint="eastAsia" w:eastAsia="楷体_GB2312"/>
              </w:rPr>
              <w:t>工作日及之后向产品管理人进行查询。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Times New Roman" w:hAnsi="Times New Roman" w:eastAsia="楷体_GB2312"/>
                <w:b/>
              </w:rPr>
              <w:t>赎回资金到账日</w:t>
            </w:r>
          </w:p>
        </w:tc>
        <w:tc>
          <w:tcPr>
            <w:tcW w:w="6466" w:type="dxa"/>
            <w:vAlign w:val="top"/>
          </w:tcPr>
          <w:p>
            <w:pPr>
              <w:spacing w:line="360" w:lineRule="exact"/>
              <w:rPr>
                <w:rFonts w:ascii="Times New Roman" w:hAnsi="Times New Roman" w:eastAsia="楷体_GB2312"/>
                <w:b/>
                <w:bCs/>
              </w:rPr>
            </w:pPr>
            <w:r>
              <w:rPr>
                <w:rFonts w:hint="eastAsia" w:ascii="Times New Roman" w:hAnsi="Times New Roman" w:eastAsia="楷体_GB2312"/>
                <w:b/>
                <w:bCs/>
              </w:rPr>
              <w:t>赎回资金将于份额赎回日后</w:t>
            </w:r>
            <w:r>
              <w:rPr>
                <w:rFonts w:ascii="Times New Roman" w:hAnsi="Times New Roman" w:eastAsia="楷体_GB2312"/>
                <w:b/>
                <w:bCs/>
              </w:rPr>
              <w:t>2</w:t>
            </w:r>
            <w:r>
              <w:rPr>
                <w:rFonts w:hint="eastAsia" w:ascii="Times New Roman" w:hAnsi="Times New Roman" w:eastAsia="楷体_GB2312"/>
                <w:b/>
                <w:bCs/>
              </w:rPr>
              <w:t>个工作日内一次性支付。</w:t>
            </w:r>
          </w:p>
          <w:p>
            <w:pPr>
              <w:spacing w:line="360" w:lineRule="exact"/>
              <w:rPr>
                <w:rFonts w:ascii="Times New Roman" w:hAnsi="Times New Roman" w:eastAsia="楷体_GB2312"/>
              </w:rPr>
            </w:pPr>
            <w:r>
              <w:rPr>
                <w:rFonts w:hint="eastAsia" w:ascii="Times New Roman" w:hAnsi="Times New Roman" w:eastAsia="楷体_GB2312"/>
                <w:b/>
                <w:bCs/>
              </w:rPr>
              <w:t>份额赎回日至资金到账日期间，赎回资金不计付任何利息。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楷体_GB2312" w:hAnsi="Times New Roman" w:eastAsia="楷体_GB2312"/>
                <w:b/>
              </w:rPr>
            </w:pPr>
            <w:r>
              <w:rPr>
                <w:rFonts w:hint="eastAsia" w:ascii="楷体_GB2312" w:hAnsi="Times New Roman" w:eastAsia="楷体_GB2312"/>
                <w:b/>
              </w:rPr>
              <w:t>相关费用</w:t>
            </w:r>
          </w:p>
        </w:tc>
        <w:tc>
          <w:tcPr>
            <w:tcW w:w="6466" w:type="dxa"/>
            <w:vAlign w:val="top"/>
          </w:tcPr>
          <w:p>
            <w:pPr>
              <w:numPr>
                <w:ilvl w:val="0"/>
                <w:numId w:val="1"/>
              </w:numPr>
              <w:snapToGrid w:val="0"/>
              <w:spacing w:line="360" w:lineRule="exact"/>
              <w:rPr>
                <w:rFonts w:ascii="楷体_GB2312" w:hAnsi="Times New Roman" w:eastAsia="楷体_GB2312"/>
                <w:b/>
                <w:bCs/>
              </w:rPr>
            </w:pPr>
            <w:r>
              <w:rPr>
                <w:rFonts w:hint="eastAsia" w:ascii="楷体_GB2312" w:hAnsi="Times New Roman" w:eastAsia="楷体_GB2312"/>
                <w:b/>
                <w:bCs/>
              </w:rPr>
              <w:t>认购费：</w:t>
            </w:r>
            <w:r>
              <w:rPr>
                <w:rFonts w:ascii="楷体_GB2312" w:hAnsi="Times New Roman" w:eastAsia="楷体_GB2312"/>
                <w:b/>
                <w:bCs/>
                <w:u w:val="single"/>
              </w:rPr>
              <w:t>0%/</w:t>
            </w:r>
            <w:r>
              <w:rPr>
                <w:rFonts w:hint="eastAsia" w:ascii="楷体_GB2312" w:hAnsi="Times New Roman" w:eastAsia="楷体_GB2312"/>
                <w:b/>
                <w:bCs/>
                <w:u w:val="single"/>
              </w:rPr>
              <w:t>年</w:t>
            </w:r>
            <w:r>
              <w:rPr>
                <w:rFonts w:hint="eastAsia" w:ascii="楷体_GB2312" w:hAnsi="Times New Roman" w:eastAsia="楷体_GB2312"/>
                <w:b/>
                <w:bCs/>
              </w:rPr>
              <w:t>；</w:t>
            </w:r>
          </w:p>
          <w:p>
            <w:pPr>
              <w:numPr>
                <w:ilvl w:val="0"/>
                <w:numId w:val="1"/>
              </w:numPr>
              <w:snapToGrid w:val="0"/>
              <w:spacing w:line="360" w:lineRule="exact"/>
              <w:rPr>
                <w:rFonts w:ascii="楷体_GB2312" w:hAnsi="Times New Roman" w:eastAsia="楷体_GB2312"/>
                <w:b/>
                <w:bCs/>
              </w:rPr>
            </w:pPr>
            <w:r>
              <w:rPr>
                <w:rFonts w:hint="eastAsia" w:ascii="楷体_GB2312" w:hAnsi="Times New Roman" w:eastAsia="楷体_GB2312"/>
                <w:b/>
                <w:bCs/>
              </w:rPr>
              <w:t>申购费</w:t>
            </w:r>
            <w:r>
              <w:rPr>
                <w:rFonts w:hint="eastAsia" w:ascii="楷体_GB2312" w:hAnsi="Times New Roman" w:eastAsia="楷体_GB2312"/>
                <w:b/>
                <w:bCs/>
                <w:u w:val="single"/>
              </w:rPr>
              <w:t>：</w:t>
            </w:r>
            <w:r>
              <w:rPr>
                <w:rFonts w:ascii="楷体_GB2312" w:hAnsi="Times New Roman" w:eastAsia="楷体_GB2312"/>
                <w:b/>
                <w:bCs/>
                <w:u w:val="single"/>
              </w:rPr>
              <w:t>0%/</w:t>
            </w:r>
            <w:r>
              <w:rPr>
                <w:rFonts w:hint="eastAsia" w:ascii="楷体_GB2312" w:hAnsi="Times New Roman" w:eastAsia="楷体_GB2312"/>
                <w:b/>
                <w:bCs/>
                <w:u w:val="single"/>
              </w:rPr>
              <w:t>年</w:t>
            </w:r>
            <w:r>
              <w:rPr>
                <w:rFonts w:hint="eastAsia" w:ascii="楷体_GB2312" w:hAnsi="Times New Roman" w:eastAsia="楷体_GB2312"/>
                <w:b/>
                <w:bCs/>
              </w:rPr>
              <w:t>；</w:t>
            </w:r>
          </w:p>
          <w:p>
            <w:pPr>
              <w:numPr>
                <w:ilvl w:val="0"/>
                <w:numId w:val="1"/>
              </w:numPr>
              <w:snapToGrid w:val="0"/>
              <w:spacing w:line="360" w:lineRule="exact"/>
              <w:rPr>
                <w:rFonts w:ascii="楷体_GB2312" w:hAnsi="Times New Roman" w:eastAsia="楷体_GB2312"/>
                <w:b/>
                <w:bCs/>
              </w:rPr>
            </w:pPr>
            <w:r>
              <w:rPr>
                <w:rFonts w:hint="eastAsia" w:ascii="楷体_GB2312" w:hAnsi="Times New Roman" w:eastAsia="楷体_GB2312"/>
                <w:b/>
                <w:bCs/>
              </w:rPr>
              <w:t>赎回费：</w:t>
            </w:r>
            <w:r>
              <w:rPr>
                <w:rFonts w:ascii="楷体_GB2312" w:hAnsi="Times New Roman" w:eastAsia="楷体_GB2312"/>
                <w:b/>
                <w:bCs/>
                <w:u w:val="single"/>
              </w:rPr>
              <w:t>0%/</w:t>
            </w:r>
            <w:r>
              <w:rPr>
                <w:rFonts w:hint="eastAsia" w:ascii="楷体_GB2312" w:hAnsi="Times New Roman" w:eastAsia="楷体_GB2312"/>
                <w:b/>
                <w:bCs/>
                <w:u w:val="single"/>
              </w:rPr>
              <w:t>年</w:t>
            </w:r>
            <w:r>
              <w:rPr>
                <w:rFonts w:hint="eastAsia" w:ascii="楷体_GB2312" w:hAnsi="Times New Roman" w:eastAsia="楷体_GB2312"/>
                <w:b/>
                <w:bCs/>
              </w:rPr>
              <w:t>；</w:t>
            </w:r>
          </w:p>
          <w:p>
            <w:pPr>
              <w:numPr>
                <w:ilvl w:val="0"/>
                <w:numId w:val="1"/>
              </w:numPr>
              <w:snapToGrid w:val="0"/>
              <w:spacing w:line="360" w:lineRule="exact"/>
              <w:rPr>
                <w:rFonts w:ascii="楷体_GB2312" w:hAnsi="Times New Roman" w:eastAsia="楷体_GB2312"/>
                <w:b/>
                <w:bCs/>
              </w:rPr>
            </w:pPr>
            <w:r>
              <w:rPr>
                <w:rFonts w:hint="eastAsia" w:ascii="楷体_GB2312" w:hAnsi="Times New Roman" w:eastAsia="楷体_GB2312"/>
                <w:b/>
                <w:bCs/>
                <w:lang w:eastAsia="zh-CN"/>
              </w:rPr>
              <w:t>固定</w:t>
            </w:r>
            <w:r>
              <w:rPr>
                <w:rFonts w:hint="eastAsia" w:ascii="楷体_GB2312" w:hAnsi="Times New Roman" w:eastAsia="楷体_GB2312"/>
                <w:b/>
                <w:bCs/>
              </w:rPr>
              <w:t>管理费、托管费：</w:t>
            </w:r>
          </w:p>
          <w:p>
            <w:pPr>
              <w:spacing w:line="360" w:lineRule="exact"/>
              <w:rPr>
                <w:rFonts w:ascii="楷体_GB2312" w:eastAsia="楷体_GB2312"/>
                <w:b/>
                <w:bCs/>
              </w:rPr>
            </w:pPr>
            <w:r>
              <w:rPr>
                <w:rFonts w:hint="eastAsia" w:ascii="楷体_GB2312" w:hAnsi="Times New Roman" w:eastAsia="楷体_GB2312"/>
                <w:b/>
                <w:bCs/>
              </w:rPr>
              <w:t>本产品按照资产净值的</w:t>
            </w:r>
            <w:r>
              <w:rPr>
                <w:rFonts w:ascii="楷体_GB2312" w:hAnsi="Times New Roman" w:eastAsia="楷体_GB2312"/>
                <w:b/>
                <w:bCs/>
                <w:u w:val="single"/>
              </w:rPr>
              <w:t>0.5%/</w:t>
            </w:r>
            <w:r>
              <w:rPr>
                <w:rFonts w:hint="eastAsia" w:ascii="楷体_GB2312" w:hAnsi="Times New Roman" w:eastAsia="楷体_GB2312"/>
                <w:b/>
                <w:bCs/>
                <w:u w:val="single"/>
              </w:rPr>
              <w:t>年</w:t>
            </w:r>
            <w:r>
              <w:rPr>
                <w:rFonts w:hint="eastAsia" w:ascii="楷体_GB2312" w:hAnsi="Times New Roman" w:eastAsia="楷体_GB2312"/>
                <w:b/>
                <w:bCs/>
              </w:rPr>
              <w:t>提取固定管理费</w:t>
            </w:r>
            <w:r>
              <w:rPr>
                <w:rFonts w:hint="eastAsia" w:ascii="楷体_GB2312" w:eastAsia="楷体_GB2312"/>
                <w:b/>
                <w:bCs/>
              </w:rPr>
              <w:t>。</w:t>
            </w:r>
          </w:p>
          <w:p>
            <w:pPr>
              <w:spacing w:line="360" w:lineRule="exact"/>
              <w:rPr>
                <w:rFonts w:ascii="楷体_GB2312" w:hAnsi="Times New Roman" w:eastAsia="楷体_GB2312"/>
                <w:b/>
                <w:bCs/>
              </w:rPr>
            </w:pPr>
            <w:r>
              <w:rPr>
                <w:rFonts w:hint="eastAsia" w:ascii="楷体_GB2312" w:hAnsi="Times New Roman" w:eastAsia="楷体_GB2312"/>
                <w:b/>
                <w:bCs/>
              </w:rPr>
              <w:t>每日计提的固定管理费</w:t>
            </w:r>
            <w:r>
              <w:rPr>
                <w:rFonts w:ascii="楷体_GB2312" w:hAnsi="Times New Roman" w:eastAsia="楷体_GB2312"/>
                <w:b/>
                <w:bCs/>
              </w:rPr>
              <w:t>=</w:t>
            </w:r>
            <w:r>
              <w:rPr>
                <w:rFonts w:hint="eastAsia" w:ascii="楷体_GB2312" w:hAnsi="Times New Roman" w:eastAsia="楷体_GB2312"/>
                <w:b/>
                <w:bCs/>
              </w:rPr>
              <w:t>每日资产净值×</w:t>
            </w:r>
            <w:r>
              <w:rPr>
                <w:rFonts w:ascii="楷体_GB2312" w:hAnsi="Times New Roman" w:eastAsia="楷体_GB2312"/>
                <w:b/>
                <w:bCs/>
                <w:u w:val="single"/>
              </w:rPr>
              <w:t>0.5</w:t>
            </w:r>
            <w:r>
              <w:rPr>
                <w:rFonts w:ascii="楷体_GB2312" w:hAnsi="Times New Roman" w:eastAsia="楷体_GB2312"/>
                <w:b/>
                <w:bCs/>
              </w:rPr>
              <w:t>%</w:t>
            </w:r>
            <w:r>
              <w:rPr>
                <w:rFonts w:hint="eastAsia" w:ascii="楷体_GB2312" w:hAnsi="Times New Roman" w:eastAsia="楷体_GB2312"/>
                <w:b/>
                <w:bCs/>
              </w:rPr>
              <w:t>／</w:t>
            </w:r>
            <w:r>
              <w:rPr>
                <w:rFonts w:ascii="楷体_GB2312" w:hAnsi="Times New Roman" w:eastAsia="楷体_GB2312"/>
                <w:b/>
                <w:bCs/>
              </w:rPr>
              <w:t>365</w:t>
            </w:r>
          </w:p>
          <w:p>
            <w:pPr>
              <w:spacing w:line="360" w:lineRule="exact"/>
              <w:rPr>
                <w:rFonts w:ascii="楷体_GB2312" w:hAnsi="Times New Roman" w:eastAsia="楷体_GB2312"/>
                <w:b/>
                <w:bCs/>
              </w:rPr>
            </w:pPr>
            <w:r>
              <w:rPr>
                <w:rFonts w:hint="eastAsia" w:ascii="楷体_GB2312" w:hAnsi="Times New Roman" w:eastAsia="楷体_GB2312"/>
                <w:b/>
                <w:bCs/>
              </w:rPr>
              <w:t>本产品按照资产净值的</w:t>
            </w:r>
            <w:r>
              <w:rPr>
                <w:rFonts w:ascii="楷体_GB2312" w:hAnsi="Times New Roman" w:eastAsia="楷体_GB2312"/>
                <w:b/>
                <w:bCs/>
                <w:u w:val="single"/>
              </w:rPr>
              <w:t>0.01%/</w:t>
            </w:r>
            <w:r>
              <w:rPr>
                <w:rFonts w:hint="eastAsia" w:ascii="楷体_GB2312" w:hAnsi="Times New Roman" w:eastAsia="楷体_GB2312"/>
                <w:b/>
                <w:bCs/>
                <w:u w:val="single"/>
              </w:rPr>
              <w:t>年</w:t>
            </w:r>
            <w:r>
              <w:rPr>
                <w:rFonts w:hint="eastAsia" w:ascii="楷体_GB2312" w:hAnsi="Times New Roman" w:eastAsia="楷体_GB2312"/>
                <w:b/>
                <w:bCs/>
              </w:rPr>
              <w:t>提取托管费。</w:t>
            </w:r>
          </w:p>
          <w:p>
            <w:pPr>
              <w:spacing w:line="360" w:lineRule="exact"/>
              <w:rPr>
                <w:rFonts w:ascii="楷体_GB2312" w:hAnsi="Times New Roman" w:eastAsia="楷体_GB2312"/>
                <w:b/>
                <w:bCs/>
              </w:rPr>
            </w:pPr>
            <w:r>
              <w:rPr>
                <w:rFonts w:hint="eastAsia" w:ascii="楷体_GB2312" w:hAnsi="Times New Roman" w:eastAsia="楷体_GB2312"/>
                <w:b/>
                <w:bCs/>
              </w:rPr>
              <w:t>每日计提的托管费</w:t>
            </w:r>
            <w:r>
              <w:rPr>
                <w:rFonts w:ascii="楷体_GB2312" w:hAnsi="Times New Roman" w:eastAsia="楷体_GB2312"/>
                <w:b/>
                <w:bCs/>
              </w:rPr>
              <w:t>=</w:t>
            </w:r>
            <w:r>
              <w:rPr>
                <w:rFonts w:hint="eastAsia" w:ascii="楷体_GB2312" w:hAnsi="Times New Roman" w:eastAsia="楷体_GB2312"/>
                <w:b/>
                <w:bCs/>
              </w:rPr>
              <w:t>每日资产净值×</w:t>
            </w:r>
            <w:r>
              <w:rPr>
                <w:rFonts w:ascii="楷体_GB2312" w:hAnsi="Times New Roman" w:eastAsia="楷体_GB2312"/>
                <w:b/>
                <w:bCs/>
                <w:u w:val="single"/>
              </w:rPr>
              <w:t>0.01</w:t>
            </w:r>
            <w:r>
              <w:rPr>
                <w:rFonts w:ascii="楷体_GB2312" w:hAnsi="Times New Roman" w:eastAsia="楷体_GB2312"/>
                <w:b/>
                <w:bCs/>
              </w:rPr>
              <w:t>%</w:t>
            </w:r>
            <w:r>
              <w:rPr>
                <w:rFonts w:hint="eastAsia" w:ascii="楷体_GB2312" w:hAnsi="Times New Roman" w:eastAsia="楷体_GB2312"/>
                <w:b/>
                <w:bCs/>
              </w:rPr>
              <w:t>／</w:t>
            </w:r>
            <w:r>
              <w:rPr>
                <w:rFonts w:ascii="楷体_GB2312" w:hAnsi="Times New Roman" w:eastAsia="楷体_GB2312"/>
                <w:b/>
                <w:bCs/>
              </w:rPr>
              <w:t>365</w:t>
            </w:r>
          </w:p>
          <w:p>
            <w:pPr>
              <w:spacing w:line="360" w:lineRule="exact"/>
              <w:rPr>
                <w:rFonts w:hint="eastAsia" w:ascii="楷体_GB2312" w:hAnsi="Times New Roman" w:eastAsia="楷体_GB2312"/>
                <w:b/>
                <w:bCs/>
              </w:rPr>
            </w:pPr>
            <w:r>
              <w:rPr>
                <w:rFonts w:hint="eastAsia" w:ascii="楷体_GB2312" w:hAnsi="Times New Roman" w:eastAsia="楷体_GB2312"/>
                <w:b/>
                <w:bCs/>
              </w:rPr>
              <w:t>产品固定管理费、托管费每日计提</w:t>
            </w:r>
            <w:r>
              <w:rPr>
                <w:rFonts w:hint="eastAsia"/>
                <w:b/>
                <w:bCs/>
              </w:rPr>
              <w:t>，</w:t>
            </w:r>
            <w:r>
              <w:rPr>
                <w:rFonts w:hint="eastAsia" w:ascii="楷体_GB2312" w:hAnsi="Times New Roman" w:eastAsia="楷体_GB2312"/>
                <w:b/>
                <w:bCs/>
              </w:rPr>
              <w:t>管理人有权根据实际情况自行提取固定管理费。</w:t>
            </w:r>
          </w:p>
          <w:p>
            <w:pPr>
              <w:spacing w:line="360" w:lineRule="exact"/>
              <w:rPr>
                <w:rFonts w:hint="eastAsia" w:ascii="楷体_GB2312" w:hAnsi="Times New Roman" w:eastAsia="楷体_GB2312"/>
                <w:b/>
                <w:bCs/>
              </w:rPr>
            </w:pPr>
            <w:r>
              <w:rPr>
                <w:rFonts w:hint="eastAsia" w:ascii="楷体_GB2312" w:hAnsi="Times New Roman" w:eastAsia="楷体_GB2312"/>
                <w:b/>
                <w:bCs/>
                <w:lang w:val="en-US" w:eastAsia="zh-CN"/>
              </w:rPr>
              <w:t>5、</w:t>
            </w:r>
            <w:r>
              <w:rPr>
                <w:rFonts w:hint="eastAsia" w:eastAsia="楷体_GB2312"/>
                <w:b/>
                <w:bCs/>
                <w:lang w:val="en-US" w:eastAsia="zh-CN"/>
              </w:rPr>
              <w:t>超额</w:t>
            </w:r>
            <w:r>
              <w:rPr>
                <w:rFonts w:hint="eastAsia" w:eastAsia="楷体_GB2312"/>
                <w:b/>
                <w:bCs/>
              </w:rPr>
              <w:t>业绩报酬：如产品收益（扣除固定管理费</w:t>
            </w:r>
            <w:r>
              <w:rPr>
                <w:rFonts w:hint="eastAsia" w:eastAsia="楷体_GB2312"/>
                <w:b/>
                <w:bCs/>
                <w:lang w:eastAsia="zh-CN"/>
              </w:rPr>
              <w:t>、</w:t>
            </w:r>
            <w:r>
              <w:rPr>
                <w:rFonts w:hint="eastAsia" w:eastAsia="楷体_GB2312"/>
                <w:b/>
                <w:bCs/>
              </w:rPr>
              <w:t>托管费等相关费用）超过业绩</w:t>
            </w:r>
            <w:r>
              <w:rPr>
                <w:rFonts w:hint="eastAsia" w:eastAsia="楷体_GB2312"/>
                <w:b/>
                <w:bCs/>
                <w:lang w:val="en-US" w:eastAsia="zh-CN"/>
              </w:rPr>
              <w:t>比较</w:t>
            </w:r>
            <w:r>
              <w:rPr>
                <w:rFonts w:hint="eastAsia" w:eastAsia="楷体_GB2312"/>
                <w:b/>
                <w:bCs/>
              </w:rPr>
              <w:t>基准</w:t>
            </w:r>
            <w:r>
              <w:rPr>
                <w:rFonts w:hint="eastAsia" w:eastAsia="楷体_GB2312"/>
                <w:b/>
                <w:bCs/>
                <w:lang w:eastAsia="zh-CN"/>
              </w:rPr>
              <w:t>下限</w:t>
            </w:r>
            <w:r>
              <w:rPr>
                <w:rFonts w:hint="eastAsia" w:eastAsia="楷体_GB2312"/>
                <w:b/>
                <w:bCs/>
                <w:lang w:val="en-US" w:eastAsia="zh-CN"/>
              </w:rPr>
              <w:t>的</w:t>
            </w:r>
            <w:r>
              <w:rPr>
                <w:rFonts w:hint="eastAsia" w:eastAsia="楷体_GB2312"/>
                <w:b/>
                <w:bCs/>
              </w:rPr>
              <w:t>，</w:t>
            </w:r>
            <w:r>
              <w:rPr>
                <w:rFonts w:hint="eastAsia" w:ascii="Times New Roman" w:hAnsi="Times New Roman" w:eastAsia="楷体_GB2312"/>
                <w:b/>
                <w:bCs/>
              </w:rPr>
              <w:t>超</w:t>
            </w:r>
            <w:r>
              <w:rPr>
                <w:rFonts w:hint="eastAsia" w:ascii="Times New Roman" w:hAnsi="Times New Roman" w:eastAsia="楷体_GB2312"/>
                <w:b/>
                <w:bCs/>
                <w:lang w:val="en-US" w:eastAsia="zh-CN"/>
              </w:rPr>
              <w:t>过</w:t>
            </w:r>
            <w:r>
              <w:rPr>
                <w:rFonts w:hint="eastAsia" w:ascii="Times New Roman" w:hAnsi="Times New Roman" w:eastAsia="楷体_GB2312"/>
                <w:b/>
                <w:bCs/>
              </w:rPr>
              <w:t>部分的8</w:t>
            </w:r>
            <w:r>
              <w:rPr>
                <w:rFonts w:ascii="Times New Roman" w:hAnsi="Times New Roman" w:eastAsia="楷体_GB2312"/>
                <w:b/>
                <w:bCs/>
              </w:rPr>
              <w:t>0</w:t>
            </w:r>
            <w:r>
              <w:rPr>
                <w:rFonts w:hint="eastAsia" w:ascii="Times New Roman" w:hAnsi="Times New Roman" w:eastAsia="楷体_GB2312"/>
                <w:b/>
                <w:bCs/>
              </w:rPr>
              <w:t>%作为</w:t>
            </w:r>
            <w:r>
              <w:rPr>
                <w:rFonts w:hint="eastAsia" w:ascii="Times New Roman" w:hAnsi="Times New Roman" w:eastAsia="楷体_GB2312"/>
                <w:b/>
                <w:bCs/>
                <w:lang w:val="en-US" w:eastAsia="zh-CN"/>
              </w:rPr>
              <w:t>超额</w:t>
            </w:r>
            <w:r>
              <w:rPr>
                <w:rFonts w:hint="eastAsia" w:ascii="Times New Roman" w:hAnsi="Times New Roman" w:eastAsia="楷体_GB2312"/>
                <w:b/>
                <w:bCs/>
              </w:rPr>
              <w:t>业绩报酬由管理人收取</w:t>
            </w:r>
            <w:r>
              <w:rPr>
                <w:rFonts w:hint="eastAsia" w:ascii="Times New Roman" w:hAnsi="Times New Roman" w:eastAsia="楷体_GB2312"/>
                <w:b/>
                <w:bCs/>
                <w:lang w:eastAsia="zh-CN"/>
              </w:rPr>
              <w:t>，</w:t>
            </w:r>
            <w:r>
              <w:rPr>
                <w:rFonts w:hint="eastAsia" w:ascii="Times New Roman" w:hAnsi="Times New Roman" w:eastAsia="楷体_GB2312"/>
                <w:b/>
                <w:bCs/>
                <w:lang w:val="en-US" w:eastAsia="zh-CN"/>
              </w:rPr>
              <w:t>其余20%归投资者所有</w:t>
            </w:r>
            <w:r>
              <w:rPr>
                <w:rFonts w:hint="eastAsia" w:ascii="Times New Roman" w:hAnsi="Times New Roman" w:eastAsia="楷体_GB2312"/>
                <w:b/>
                <w:bCs/>
              </w:rPr>
              <w:t>。</w:t>
            </w:r>
          </w:p>
          <w:p>
            <w:pPr>
              <w:spacing w:line="360" w:lineRule="exact"/>
              <w:rPr>
                <w:rFonts w:ascii="Times New Roman" w:hAnsi="Times New Roman" w:eastAsia="楷体_GB2312"/>
              </w:rPr>
            </w:pPr>
            <w:r>
              <w:rPr>
                <w:rFonts w:hint="eastAsia" w:ascii="楷体_GB2312" w:hAnsi="Times New Roman" w:eastAsia="楷体_GB2312"/>
                <w:lang w:val="en-US" w:eastAsia="zh-CN"/>
              </w:rPr>
              <w:t>6、</w:t>
            </w:r>
            <w:r>
              <w:rPr>
                <w:rFonts w:hint="eastAsia" w:ascii="楷体_GB2312" w:hAnsi="Times New Roman" w:eastAsia="楷体_GB2312"/>
              </w:rPr>
              <w:t>其他费用详见本产品说明书第三部分“产品的相关费用及收益与分配”。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b/>
              </w:rPr>
            </w:pPr>
            <w:r>
              <w:rPr>
                <w:rFonts w:hint="eastAsia" w:ascii="楷体_GB2312" w:hAnsi="Times New Roman" w:eastAsia="楷体_GB2312"/>
                <w:b/>
              </w:rPr>
              <w:t>销售渠道</w:t>
            </w:r>
          </w:p>
        </w:tc>
        <w:tc>
          <w:tcPr>
            <w:tcW w:w="6466" w:type="dxa"/>
            <w:vAlign w:val="top"/>
          </w:tcPr>
          <w:p>
            <w:r>
              <w:rPr>
                <w:rFonts w:hint="eastAsia" w:ascii="楷体_GB2312" w:hAnsi="Times New Roman" w:eastAsia="楷体_GB2312"/>
              </w:rPr>
              <w:t>常熟农商银行下属各营业网点和电子渠道（包括但不限于常熟农商银行柜面、手机银行等渠道）、常熟农商银行指定的第三方银行业金融机构代销渠道（如有）。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b/>
              </w:rPr>
            </w:pPr>
            <w:r>
              <w:rPr>
                <w:rFonts w:hint="eastAsia" w:ascii="Times New Roman" w:hAnsi="Times New Roman" w:eastAsia="楷体_GB2312"/>
                <w:b/>
              </w:rPr>
              <w:t>工作日</w:t>
            </w:r>
          </w:p>
        </w:tc>
        <w:tc>
          <w:tcPr>
            <w:tcW w:w="6466" w:type="dxa"/>
            <w:vAlign w:val="top"/>
          </w:tcPr>
          <w:p>
            <w:pPr>
              <w:spacing w:line="360" w:lineRule="exact"/>
              <w:rPr>
                <w:rFonts w:ascii="Times New Roman" w:hAnsi="Times New Roman" w:eastAsia="楷体_GB2312"/>
              </w:rPr>
            </w:pPr>
            <w:r>
              <w:rPr>
                <w:rFonts w:hint="eastAsia" w:ascii="Times New Roman" w:hAnsi="Times New Roman" w:eastAsia="楷体_GB2312"/>
              </w:rPr>
              <w:t>除法定节假日和休息日（以国务院公布为准）以外的中国的银行营业日。如遇特殊情况，以常熟农商银行具体公告为准。</w:t>
            </w:r>
          </w:p>
          <w:p>
            <w:pPr>
              <w:spacing w:line="360" w:lineRule="exact"/>
            </w:pPr>
            <w:r>
              <w:rPr>
                <w:rFonts w:hint="eastAsia" w:ascii="Times New Roman" w:hAnsi="Times New Roman" w:eastAsia="楷体_GB2312"/>
              </w:rPr>
              <w:t>本产品说明书中涉及的所有日期如遇非工作日，则顺延至下一个工作日。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6" w:type="dxa"/>
            <w:vAlign w:val="center"/>
          </w:tcPr>
          <w:p>
            <w:pPr>
              <w:rPr>
                <w:rFonts w:ascii="Times New Roman" w:hAnsi="Times New Roman" w:eastAsia="楷体_GB2312"/>
                <w:b/>
              </w:rPr>
            </w:pPr>
            <w:r>
              <w:rPr>
                <w:rFonts w:hint="eastAsia" w:ascii="楷体_GB2312" w:hAnsi="Times New Roman" w:eastAsia="楷体_GB2312"/>
                <w:b/>
                <w:kern w:val="0"/>
              </w:rPr>
              <w:t>税收规定</w:t>
            </w:r>
          </w:p>
        </w:tc>
        <w:tc>
          <w:tcPr>
            <w:tcW w:w="6466" w:type="dxa"/>
            <w:vAlign w:val="top"/>
          </w:tcPr>
          <w:p>
            <w:pPr>
              <w:rPr>
                <w:rFonts w:ascii="Times New Roman" w:hAnsi="Times New Roman" w:eastAsia="楷体_GB2312"/>
              </w:rPr>
            </w:pPr>
            <w:r>
              <w:rPr>
                <w:rFonts w:hint="eastAsia" w:ascii="楷体_GB2312" w:hAnsi="Times New Roman" w:eastAsia="楷体_GB2312"/>
                <w:kern w:val="0"/>
              </w:rPr>
              <w:t>本产品运作过程中涉及的各纳税主体，自行依照国家法律法规的规定履行纳税义务。特别的，根据现行增值税法规，本产品运营过程中发生的增值税应税行为，由产品管理人负责申报及缴纳，相应税费由本产品承担。</w:t>
            </w:r>
          </w:p>
        </w:tc>
      </w:tr>
    </w:tbl>
    <w:p>
      <w:pPr>
        <w:spacing w:line="360" w:lineRule="atLeast"/>
        <w:rPr>
          <w:rFonts w:ascii="楷体_GB2312" w:hAnsi="Times New Roman" w:eastAsia="楷体_GB2312"/>
          <w:b/>
          <w:sz w:val="28"/>
        </w:rPr>
      </w:pPr>
    </w:p>
    <w:p>
      <w:pPr>
        <w:snapToGrid w:val="0"/>
        <w:spacing w:line="360" w:lineRule="atLeast"/>
        <w:ind w:firstLine="481" w:firstLineChars="171"/>
        <w:jc w:val="center"/>
        <w:rPr>
          <w:rFonts w:eastAsia="楷体_GB2312"/>
        </w:rPr>
      </w:pPr>
      <w:r>
        <w:rPr>
          <w:rFonts w:hint="eastAsia" w:ascii="楷体_GB2312" w:hAnsi="Times New Roman" w:eastAsia="楷体_GB2312"/>
          <w:b/>
          <w:sz w:val="28"/>
        </w:rPr>
        <w:t>二、</w:t>
      </w:r>
      <w:r>
        <w:rPr>
          <w:rFonts w:hint="eastAsia" w:ascii="楷体_GB2312" w:eastAsia="楷体_GB2312"/>
          <w:b/>
          <w:sz w:val="28"/>
        </w:rPr>
        <w:t>产品申购、赎回及发行计划</w:t>
      </w:r>
    </w:p>
    <w:p>
      <w:pPr>
        <w:spacing w:line="360" w:lineRule="exact"/>
        <w:ind w:firstLine="361" w:firstLineChars="171"/>
        <w:rPr>
          <w:rFonts w:eastAsia="楷体_GB2312"/>
          <w:b/>
        </w:rPr>
      </w:pPr>
      <w:r>
        <w:rPr>
          <w:rFonts w:hint="eastAsia" w:eastAsia="楷体_GB2312"/>
          <w:b/>
        </w:rPr>
        <w:t>（一）申购</w:t>
      </w:r>
    </w:p>
    <w:p>
      <w:pPr>
        <w:spacing w:line="360" w:lineRule="exact"/>
        <w:ind w:firstLine="359" w:firstLineChars="171"/>
        <w:rPr>
          <w:rFonts w:eastAsia="楷体_GB2312"/>
          <w:szCs w:val="21"/>
        </w:rPr>
      </w:pPr>
      <w:r>
        <w:rPr>
          <w:rFonts w:hint="eastAsia" w:eastAsia="楷体_GB2312"/>
          <w:szCs w:val="21"/>
        </w:rPr>
        <w:t>投资者必须在开放日的业务办理时间提出申购申请。</w:t>
      </w:r>
    </w:p>
    <w:p>
      <w:pPr>
        <w:spacing w:line="360" w:lineRule="exact"/>
        <w:ind w:firstLine="359" w:firstLineChars="171"/>
        <w:rPr>
          <w:rFonts w:eastAsia="楷体_GB2312"/>
        </w:rPr>
      </w:pPr>
      <w:r>
        <w:rPr>
          <w:rFonts w:hint="eastAsia" w:eastAsia="楷体_GB2312"/>
        </w:rPr>
        <w:t>申购采用全额缴款方式，若申购不成功或无效，产品管理人或产品管理人指定的销售机构将投资者已缴付的申购款项退还给投资者，或将投资者申购款项予以解除冻结。投资者理财资金在扣划之前按产品管理人公布的人民币活期储蓄存款利率计息，该等利息不作为申购资金扣收。</w:t>
      </w:r>
    </w:p>
    <w:p>
      <w:pPr>
        <w:spacing w:line="360" w:lineRule="exact"/>
        <w:ind w:firstLine="361" w:firstLineChars="171"/>
        <w:rPr>
          <w:rFonts w:eastAsia="楷体_GB2312"/>
          <w:b/>
          <w:bCs/>
        </w:rPr>
      </w:pPr>
      <w:r>
        <w:rPr>
          <w:rFonts w:hint="eastAsia" w:eastAsia="楷体_GB2312"/>
          <w:b/>
          <w:bCs/>
          <w:szCs w:val="21"/>
        </w:rPr>
        <w:t>产品管理人可根据市场情况调整有关申购程序和数额限制以及在销售机构保留的最低份额限制，但应最迟在调整前三个工作日进行信息披露。</w:t>
      </w:r>
    </w:p>
    <w:p>
      <w:pPr>
        <w:spacing w:line="360" w:lineRule="exact"/>
        <w:ind w:firstLine="359" w:firstLineChars="171"/>
        <w:rPr>
          <w:rFonts w:eastAsia="楷体_GB2312"/>
        </w:rPr>
      </w:pPr>
      <w:r>
        <w:rPr>
          <w:rFonts w:hint="eastAsia" w:eastAsia="楷体_GB2312"/>
        </w:rPr>
        <w:t>（二）</w:t>
      </w:r>
      <w:r>
        <w:rPr>
          <w:rFonts w:hint="eastAsia" w:eastAsia="楷体_GB2312"/>
          <w:b/>
        </w:rPr>
        <w:t>赎回</w:t>
      </w:r>
    </w:p>
    <w:p>
      <w:pPr>
        <w:spacing w:line="360" w:lineRule="exact"/>
        <w:ind w:firstLine="359" w:firstLineChars="171"/>
        <w:rPr>
          <w:rFonts w:eastAsia="楷体_GB2312"/>
        </w:rPr>
      </w:pPr>
      <w:r>
        <w:rPr>
          <w:rFonts w:hint="eastAsia" w:eastAsia="楷体_GB2312"/>
        </w:rPr>
        <w:t>产品赎回金额的计算如下:</w:t>
      </w:r>
    </w:p>
    <w:p>
      <w:pPr>
        <w:spacing w:line="360" w:lineRule="exact"/>
        <w:ind w:firstLine="359" w:firstLineChars="171"/>
        <w:rPr>
          <w:rFonts w:eastAsia="楷体_GB2312"/>
          <w:b/>
          <w:bCs/>
        </w:rPr>
      </w:pPr>
      <w:r>
        <w:rPr>
          <w:rFonts w:hint="eastAsia" w:ascii="宋体" w:hAnsi="宋体" w:cs="宋体"/>
        </w:rPr>
        <w:t>•</w:t>
      </w:r>
      <w:r>
        <w:rPr>
          <w:rFonts w:hint="eastAsia" w:ascii="楷体" w:hAnsi="楷体" w:eastAsia="楷体" w:cs="楷体"/>
          <w:b/>
          <w:bCs/>
        </w:rPr>
        <w:t>赎回金额＝赎回份数×赎回日前一日产品单位净值</w:t>
      </w:r>
    </w:p>
    <w:p>
      <w:pPr>
        <w:spacing w:line="360" w:lineRule="exact"/>
        <w:ind w:firstLine="359" w:firstLineChars="171"/>
        <w:rPr>
          <w:rFonts w:eastAsia="楷体_GB2312"/>
        </w:rPr>
      </w:pPr>
      <w:r>
        <w:rPr>
          <w:rFonts w:hint="eastAsia" w:ascii="宋体" w:hAnsi="宋体" w:cs="宋体"/>
        </w:rPr>
        <w:t>•</w:t>
      </w:r>
      <w:r>
        <w:rPr>
          <w:rFonts w:hint="eastAsia" w:ascii="楷体" w:hAnsi="楷体" w:eastAsia="楷体" w:cs="楷体"/>
        </w:rPr>
        <w:t>赎回金额保留至小数点后两位，小数点后两位以下四舍五入。</w:t>
      </w:r>
    </w:p>
    <w:p>
      <w:pPr>
        <w:spacing w:line="360" w:lineRule="exact"/>
        <w:ind w:firstLine="359" w:firstLineChars="171"/>
        <w:rPr>
          <w:rFonts w:eastAsia="楷体_GB2312"/>
        </w:rPr>
      </w:pPr>
      <w:r>
        <w:rPr>
          <w:rFonts w:hint="eastAsia" w:eastAsia="楷体_GB2312"/>
        </w:rPr>
        <w:t>例：假设赎回本产品100,000份产品份额，持有时间为364天，假设赎回日前一日产品单位净值是1.03元，则赎回金额为：</w:t>
      </w:r>
    </w:p>
    <w:p>
      <w:pPr>
        <w:spacing w:line="360" w:lineRule="exact"/>
        <w:ind w:firstLine="359" w:firstLineChars="171"/>
        <w:rPr>
          <w:rFonts w:eastAsia="楷体_GB2312"/>
        </w:rPr>
      </w:pPr>
      <w:r>
        <w:rPr>
          <w:rFonts w:hint="eastAsia" w:eastAsia="楷体_GB2312"/>
        </w:rPr>
        <w:t>赎回金额=100,000×1.03=103,000元。</w:t>
      </w:r>
    </w:p>
    <w:p>
      <w:pPr>
        <w:spacing w:line="360" w:lineRule="exact"/>
        <w:ind w:firstLine="361" w:firstLineChars="171"/>
        <w:rPr>
          <w:rFonts w:eastAsia="楷体_GB2312"/>
          <w:b/>
          <w:bCs/>
        </w:rPr>
      </w:pPr>
      <w:r>
        <w:rPr>
          <w:rFonts w:hint="eastAsia" w:eastAsia="楷体_GB2312"/>
          <w:b/>
        </w:rPr>
        <w:t>（三）</w:t>
      </w:r>
      <w:r>
        <w:rPr>
          <w:rFonts w:hint="eastAsia" w:eastAsia="楷体_GB2312"/>
          <w:b/>
          <w:bCs/>
        </w:rPr>
        <w:t>发行计划</w:t>
      </w:r>
    </w:p>
    <w:p>
      <w:pPr>
        <w:spacing w:line="360" w:lineRule="exact"/>
        <w:ind w:firstLine="359" w:firstLineChars="171"/>
        <w:rPr>
          <w:rFonts w:eastAsia="楷体_GB2312"/>
        </w:rPr>
      </w:pPr>
      <w:r>
        <w:rPr>
          <w:rFonts w:hint="eastAsia" w:eastAsia="楷体_GB2312"/>
        </w:rPr>
        <w:t>产品首次认购计划如下，自</w:t>
      </w:r>
      <w:r>
        <w:rPr>
          <w:rFonts w:eastAsia="楷体_GB2312"/>
        </w:rPr>
        <w:t>20</w:t>
      </w:r>
      <w:r>
        <w:rPr>
          <w:rFonts w:hint="eastAsia" w:eastAsia="楷体_GB2312"/>
        </w:rPr>
        <w:t>21年1月20日起开放申购，正常情况下每周开放，具体发行</w:t>
      </w:r>
      <w:r>
        <w:rPr>
          <w:rFonts w:hint="eastAsia" w:eastAsia="楷体_GB2312"/>
          <w:lang w:eastAsia="zh-CN"/>
        </w:rPr>
        <w:t>详见常熟农商银行各理财销售渠道</w:t>
      </w:r>
      <w:r>
        <w:rPr>
          <w:rFonts w:hint="eastAsia" w:eastAsia="楷体_GB2312"/>
        </w:rPr>
        <w:t>：</w:t>
      </w:r>
    </w:p>
    <w:tbl>
      <w:tblPr>
        <w:tblStyle w:val="12"/>
        <w:tblW w:w="875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320"/>
        <w:gridCol w:w="1297"/>
        <w:gridCol w:w="1298"/>
        <w:gridCol w:w="189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7" w:type="dxa"/>
            <w:vAlign w:val="center"/>
          </w:tcPr>
          <w:p>
            <w:pPr>
              <w:spacing w:line="360" w:lineRule="exact"/>
              <w:jc w:val="center"/>
              <w:rPr>
                <w:rFonts w:eastAsia="楷体_GB2312"/>
              </w:rPr>
            </w:pPr>
            <w:r>
              <w:rPr>
                <w:rFonts w:hint="eastAsia" w:eastAsia="楷体_GB2312"/>
              </w:rPr>
              <w:t>销售系统名称</w:t>
            </w:r>
          </w:p>
        </w:tc>
        <w:tc>
          <w:tcPr>
            <w:tcW w:w="1320" w:type="dxa"/>
            <w:vAlign w:val="center"/>
          </w:tcPr>
          <w:p>
            <w:pPr>
              <w:spacing w:line="360" w:lineRule="exact"/>
              <w:jc w:val="center"/>
              <w:rPr>
                <w:rFonts w:eastAsia="楷体_GB2312"/>
              </w:rPr>
            </w:pPr>
            <w:r>
              <w:rPr>
                <w:rFonts w:hint="eastAsia" w:eastAsia="楷体_GB2312"/>
              </w:rPr>
              <w:t>认购起始日</w:t>
            </w:r>
          </w:p>
        </w:tc>
        <w:tc>
          <w:tcPr>
            <w:tcW w:w="1297" w:type="dxa"/>
            <w:vAlign w:val="center"/>
          </w:tcPr>
          <w:p>
            <w:pPr>
              <w:spacing w:line="360" w:lineRule="exact"/>
              <w:jc w:val="center"/>
              <w:rPr>
                <w:rFonts w:eastAsia="楷体_GB2312"/>
              </w:rPr>
            </w:pPr>
            <w:r>
              <w:rPr>
                <w:rFonts w:hint="eastAsia" w:eastAsia="楷体_GB2312"/>
              </w:rPr>
              <w:t>认购结束日</w:t>
            </w:r>
          </w:p>
        </w:tc>
        <w:tc>
          <w:tcPr>
            <w:tcW w:w="1298" w:type="dxa"/>
            <w:vAlign w:val="center"/>
          </w:tcPr>
          <w:p>
            <w:pPr>
              <w:spacing w:line="360" w:lineRule="exact"/>
              <w:jc w:val="center"/>
              <w:rPr>
                <w:rFonts w:eastAsia="楷体_GB2312"/>
              </w:rPr>
            </w:pPr>
            <w:r>
              <w:rPr>
                <w:rFonts w:hint="eastAsia" w:eastAsia="楷体_GB2312"/>
              </w:rPr>
              <w:t>认购确认日</w:t>
            </w:r>
          </w:p>
        </w:tc>
        <w:tc>
          <w:tcPr>
            <w:tcW w:w="1890" w:type="dxa"/>
            <w:vAlign w:val="center"/>
          </w:tcPr>
          <w:p>
            <w:pPr>
              <w:spacing w:line="360" w:lineRule="exact"/>
              <w:jc w:val="center"/>
              <w:rPr>
                <w:rFonts w:eastAsia="楷体_GB2312"/>
              </w:rPr>
            </w:pPr>
            <w:r>
              <w:rPr>
                <w:rFonts w:hint="eastAsia" w:eastAsia="楷体_GB2312"/>
              </w:rPr>
              <w:t>投资者持有期限（天）</w:t>
            </w:r>
          </w:p>
        </w:tc>
        <w:tc>
          <w:tcPr>
            <w:tcW w:w="1365" w:type="dxa"/>
            <w:vAlign w:val="center"/>
          </w:tcPr>
          <w:p>
            <w:pPr>
              <w:spacing w:line="360" w:lineRule="exact"/>
              <w:jc w:val="center"/>
              <w:rPr>
                <w:rFonts w:eastAsia="楷体_GB2312"/>
              </w:rPr>
            </w:pPr>
            <w:r>
              <w:rPr>
                <w:rFonts w:hint="eastAsia" w:eastAsia="楷体_GB2312"/>
              </w:rPr>
              <w:t>份额赎回日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7" w:type="dxa"/>
            <w:vAlign w:val="center"/>
          </w:tcPr>
          <w:p>
            <w:pPr>
              <w:spacing w:line="360" w:lineRule="exact"/>
              <w:jc w:val="center"/>
              <w:rPr>
                <w:rFonts w:eastAsia="楷体_GB2312"/>
              </w:rPr>
            </w:pPr>
            <w:r>
              <w:rPr>
                <w:rFonts w:hint="eastAsia" w:eastAsia="楷体_GB2312"/>
              </w:rPr>
              <w:t>常乐智享一年期A款-1期</w:t>
            </w:r>
          </w:p>
        </w:tc>
        <w:tc>
          <w:tcPr>
            <w:tcW w:w="1320" w:type="dxa"/>
            <w:vAlign w:val="center"/>
          </w:tcPr>
          <w:p>
            <w:pPr>
              <w:spacing w:line="360" w:lineRule="exact"/>
              <w:jc w:val="center"/>
              <w:rPr>
                <w:rFonts w:eastAsia="楷体_GB2312"/>
              </w:rPr>
            </w:pPr>
            <w:r>
              <w:rPr>
                <w:rFonts w:eastAsia="楷体_GB2312"/>
              </w:rPr>
              <w:t>20</w:t>
            </w:r>
            <w:r>
              <w:rPr>
                <w:rFonts w:hint="eastAsia" w:eastAsia="楷体_GB2312"/>
              </w:rPr>
              <w:t>21</w:t>
            </w:r>
            <w:r>
              <w:rPr>
                <w:rFonts w:eastAsia="楷体_GB2312"/>
              </w:rPr>
              <w:t>/</w:t>
            </w:r>
            <w:r>
              <w:rPr>
                <w:rFonts w:hint="eastAsia" w:eastAsia="楷体_GB2312"/>
              </w:rPr>
              <w:t>01</w:t>
            </w:r>
            <w:r>
              <w:rPr>
                <w:rFonts w:eastAsia="楷体_GB2312"/>
              </w:rPr>
              <w:t>/</w:t>
            </w:r>
            <w:r>
              <w:rPr>
                <w:rFonts w:hint="eastAsia" w:eastAsia="楷体_GB2312"/>
              </w:rPr>
              <w:t>13</w:t>
            </w:r>
          </w:p>
        </w:tc>
        <w:tc>
          <w:tcPr>
            <w:tcW w:w="1297" w:type="dxa"/>
            <w:vAlign w:val="center"/>
          </w:tcPr>
          <w:p>
            <w:pPr>
              <w:spacing w:line="360" w:lineRule="exact"/>
              <w:jc w:val="center"/>
              <w:rPr>
                <w:rFonts w:eastAsia="楷体_GB2312"/>
              </w:rPr>
            </w:pPr>
            <w:r>
              <w:rPr>
                <w:rFonts w:eastAsia="楷体_GB2312"/>
              </w:rPr>
              <w:t>20</w:t>
            </w:r>
            <w:r>
              <w:rPr>
                <w:rFonts w:hint="eastAsia" w:eastAsia="楷体_GB2312"/>
              </w:rPr>
              <w:t>21</w:t>
            </w:r>
            <w:r>
              <w:rPr>
                <w:rFonts w:eastAsia="楷体_GB2312"/>
              </w:rPr>
              <w:t>/</w:t>
            </w:r>
            <w:r>
              <w:rPr>
                <w:rFonts w:hint="eastAsia" w:eastAsia="楷体_GB2312"/>
              </w:rPr>
              <w:t>01</w:t>
            </w:r>
            <w:r>
              <w:rPr>
                <w:rFonts w:eastAsia="楷体_GB2312"/>
              </w:rPr>
              <w:t>/</w:t>
            </w:r>
            <w:r>
              <w:rPr>
                <w:rFonts w:hint="eastAsia" w:eastAsia="楷体_GB2312"/>
              </w:rPr>
              <w:t>19</w:t>
            </w:r>
          </w:p>
        </w:tc>
        <w:tc>
          <w:tcPr>
            <w:tcW w:w="1298" w:type="dxa"/>
            <w:vAlign w:val="center"/>
          </w:tcPr>
          <w:p>
            <w:pPr>
              <w:spacing w:line="360" w:lineRule="exact"/>
              <w:jc w:val="center"/>
              <w:rPr>
                <w:rFonts w:eastAsia="楷体_GB2312"/>
              </w:rPr>
            </w:pPr>
            <w:r>
              <w:rPr>
                <w:rFonts w:eastAsia="楷体_GB2312"/>
              </w:rPr>
              <w:t>20</w:t>
            </w:r>
            <w:r>
              <w:rPr>
                <w:rFonts w:hint="eastAsia" w:eastAsia="楷体_GB2312"/>
              </w:rPr>
              <w:t>21</w:t>
            </w:r>
            <w:r>
              <w:rPr>
                <w:rFonts w:eastAsia="楷体_GB2312"/>
              </w:rPr>
              <w:t>/</w:t>
            </w:r>
            <w:r>
              <w:rPr>
                <w:rFonts w:hint="eastAsia" w:eastAsia="楷体_GB2312"/>
              </w:rPr>
              <w:t>01</w:t>
            </w:r>
            <w:r>
              <w:rPr>
                <w:rFonts w:eastAsia="楷体_GB2312"/>
              </w:rPr>
              <w:t>/</w:t>
            </w:r>
            <w:r>
              <w:rPr>
                <w:rFonts w:hint="eastAsia" w:eastAsia="楷体_GB2312"/>
              </w:rPr>
              <w:t>20</w:t>
            </w:r>
          </w:p>
        </w:tc>
        <w:tc>
          <w:tcPr>
            <w:tcW w:w="1890" w:type="dxa"/>
            <w:vAlign w:val="center"/>
          </w:tcPr>
          <w:p>
            <w:pPr>
              <w:spacing w:line="360" w:lineRule="exact"/>
              <w:jc w:val="center"/>
              <w:rPr>
                <w:rFonts w:eastAsia="楷体_GB2312"/>
              </w:rPr>
            </w:pPr>
            <w:r>
              <w:rPr>
                <w:rFonts w:hint="eastAsia" w:eastAsia="楷体_GB2312"/>
              </w:rPr>
              <w:t>364</w:t>
            </w:r>
          </w:p>
        </w:tc>
        <w:tc>
          <w:tcPr>
            <w:tcW w:w="1365" w:type="dxa"/>
            <w:vAlign w:val="center"/>
          </w:tcPr>
          <w:p>
            <w:pPr>
              <w:spacing w:line="360" w:lineRule="exact"/>
              <w:jc w:val="center"/>
              <w:rPr>
                <w:rFonts w:eastAsia="楷体_GB2312"/>
              </w:rPr>
            </w:pPr>
            <w:r>
              <w:rPr>
                <w:rFonts w:eastAsia="楷体_GB2312"/>
              </w:rPr>
              <w:t>20</w:t>
            </w:r>
            <w:r>
              <w:rPr>
                <w:rFonts w:hint="eastAsia" w:eastAsia="楷体_GB2312"/>
              </w:rPr>
              <w:t>22</w:t>
            </w:r>
            <w:r>
              <w:rPr>
                <w:rFonts w:eastAsia="楷体_GB2312"/>
              </w:rPr>
              <w:t>/</w:t>
            </w:r>
            <w:r>
              <w:rPr>
                <w:rFonts w:hint="eastAsia" w:eastAsia="楷体_GB2312"/>
              </w:rPr>
              <w:t>01</w:t>
            </w:r>
            <w:r>
              <w:rPr>
                <w:rFonts w:eastAsia="楷体_GB2312"/>
              </w:rPr>
              <w:t>/</w:t>
            </w:r>
            <w:r>
              <w:rPr>
                <w:rFonts w:hint="eastAsia" w:eastAsia="楷体_GB2312"/>
              </w:rPr>
              <w:t>19</w:t>
            </w:r>
          </w:p>
        </w:tc>
      </w:tr>
    </w:tbl>
    <w:p>
      <w:pPr>
        <w:spacing w:line="360" w:lineRule="exact"/>
        <w:rPr>
          <w:rFonts w:eastAsia="楷体_GB2312"/>
        </w:rPr>
      </w:pPr>
    </w:p>
    <w:p>
      <w:pPr>
        <w:pStyle w:val="2"/>
        <w:snapToGrid w:val="0"/>
        <w:spacing w:before="0" w:after="0" w:line="360" w:lineRule="atLeast"/>
        <w:jc w:val="center"/>
        <w:rPr>
          <w:rFonts w:ascii="楷体_GB2312" w:eastAsia="楷体_GB2312"/>
          <w:sz w:val="28"/>
        </w:rPr>
      </w:pPr>
    </w:p>
    <w:p>
      <w:pPr>
        <w:pStyle w:val="2"/>
        <w:snapToGrid w:val="0"/>
        <w:spacing w:before="0" w:after="0" w:line="360" w:lineRule="atLeast"/>
        <w:jc w:val="center"/>
        <w:rPr>
          <w:rFonts w:ascii="楷体_GB2312" w:eastAsia="楷体_GB2312"/>
          <w:sz w:val="28"/>
        </w:rPr>
      </w:pPr>
      <w:r>
        <w:rPr>
          <w:rFonts w:hint="eastAsia" w:ascii="楷体_GB2312" w:eastAsia="楷体_GB2312"/>
          <w:sz w:val="28"/>
        </w:rPr>
        <w:t>三、产品的相关费用及收益计算</w:t>
      </w:r>
    </w:p>
    <w:p>
      <w:pPr>
        <w:snapToGrid w:val="0"/>
        <w:spacing w:line="360" w:lineRule="exact"/>
        <w:ind w:firstLine="422" w:firstLineChars="200"/>
        <w:rPr>
          <w:rFonts w:ascii="楷体_GB2312" w:eastAsia="楷体_GB2312"/>
          <w:b/>
          <w:bCs/>
        </w:rPr>
      </w:pPr>
      <w:r>
        <w:rPr>
          <w:rFonts w:hint="eastAsia" w:ascii="楷体_GB2312" w:eastAsia="楷体_GB2312"/>
          <w:b/>
          <w:bCs/>
        </w:rPr>
        <w:t>（一）与产品运作有关的费用</w:t>
      </w:r>
    </w:p>
    <w:p>
      <w:pPr>
        <w:snapToGrid w:val="0"/>
        <w:spacing w:line="360" w:lineRule="exact"/>
        <w:ind w:firstLine="420" w:firstLineChars="200"/>
        <w:rPr>
          <w:rFonts w:ascii="楷体_GB2312" w:eastAsia="楷体_GB2312"/>
        </w:rPr>
      </w:pPr>
      <w:r>
        <w:rPr>
          <w:rFonts w:ascii="楷体_GB2312" w:eastAsia="楷体_GB2312"/>
        </w:rPr>
        <w:t>1</w:t>
      </w:r>
      <w:r>
        <w:rPr>
          <w:rFonts w:hint="eastAsia" w:ascii="楷体_GB2312" w:eastAsia="楷体_GB2312"/>
        </w:rPr>
        <w:t>、产品费用的种类</w:t>
      </w:r>
    </w:p>
    <w:p>
      <w:pPr>
        <w:snapToGrid w:val="0"/>
        <w:spacing w:line="360" w:lineRule="exact"/>
        <w:ind w:firstLine="420" w:firstLineChars="200"/>
        <w:rPr>
          <w:rFonts w:ascii="楷体_GB2312" w:eastAsia="楷体_GB2312"/>
        </w:rPr>
      </w:pPr>
      <w:r>
        <w:rPr>
          <w:rFonts w:hint="eastAsia" w:ascii="楷体_GB2312" w:eastAsia="楷体_GB2312"/>
        </w:rPr>
        <w:t>（</w:t>
      </w:r>
      <w:r>
        <w:rPr>
          <w:rFonts w:ascii="楷体_GB2312" w:eastAsia="楷体_GB2312"/>
        </w:rPr>
        <w:t>1</w:t>
      </w:r>
      <w:r>
        <w:rPr>
          <w:rFonts w:hint="eastAsia" w:ascii="楷体_GB2312" w:eastAsia="楷体_GB2312"/>
        </w:rPr>
        <w:t>）产品管理费；</w:t>
      </w:r>
    </w:p>
    <w:p>
      <w:pPr>
        <w:snapToGrid w:val="0"/>
        <w:spacing w:line="360" w:lineRule="exact"/>
        <w:ind w:firstLine="420" w:firstLineChars="200"/>
        <w:rPr>
          <w:rFonts w:ascii="楷体_GB2312" w:eastAsia="楷体_GB2312"/>
        </w:rPr>
      </w:pPr>
      <w:r>
        <w:rPr>
          <w:rFonts w:hint="eastAsia" w:ascii="楷体_GB2312" w:eastAsia="楷体_GB2312"/>
        </w:rPr>
        <w:t>（</w:t>
      </w:r>
      <w:r>
        <w:rPr>
          <w:rFonts w:ascii="楷体_GB2312" w:eastAsia="楷体_GB2312"/>
        </w:rPr>
        <w:t>2</w:t>
      </w:r>
      <w:r>
        <w:rPr>
          <w:rFonts w:hint="eastAsia" w:ascii="楷体_GB2312" w:eastAsia="楷体_GB2312"/>
        </w:rPr>
        <w:t>）产品托管费；</w:t>
      </w:r>
    </w:p>
    <w:p>
      <w:pPr>
        <w:snapToGrid w:val="0"/>
        <w:spacing w:line="360" w:lineRule="exact"/>
        <w:ind w:firstLine="420" w:firstLineChars="200"/>
        <w:rPr>
          <w:rFonts w:ascii="楷体_GB2312" w:eastAsia="楷体_GB2312"/>
          <w:szCs w:val="21"/>
        </w:rPr>
      </w:pPr>
      <w:r>
        <w:rPr>
          <w:rFonts w:hint="eastAsia" w:ascii="楷体_GB2312" w:eastAsia="楷体_GB2312"/>
          <w:szCs w:val="21"/>
        </w:rPr>
        <w:t>（3）其他相关服务机构费用：包括中央国债登记结算有限公司等其他相关服务机构的费用；</w:t>
      </w:r>
    </w:p>
    <w:p>
      <w:pPr>
        <w:snapToGrid w:val="0"/>
        <w:spacing w:line="360" w:lineRule="exact"/>
        <w:ind w:firstLine="420" w:firstLineChars="200"/>
        <w:rPr>
          <w:rFonts w:ascii="楷体_GB2312" w:eastAsia="楷体_GB2312"/>
          <w:szCs w:val="21"/>
        </w:rPr>
      </w:pPr>
      <w:r>
        <w:rPr>
          <w:rFonts w:hint="eastAsia" w:ascii="楷体_GB2312" w:eastAsia="楷体_GB2312"/>
          <w:szCs w:val="21"/>
        </w:rPr>
        <w:t>（4）按照国家有关规定可以列入的其它费用。</w:t>
      </w:r>
    </w:p>
    <w:p>
      <w:pPr>
        <w:snapToGrid w:val="0"/>
        <w:spacing w:line="360" w:lineRule="exact"/>
        <w:ind w:firstLine="420" w:firstLineChars="200"/>
        <w:rPr>
          <w:rFonts w:ascii="楷体_GB2312" w:eastAsia="楷体_GB2312"/>
        </w:rPr>
      </w:pPr>
      <w:r>
        <w:rPr>
          <w:rFonts w:hint="eastAsia" w:ascii="楷体_GB2312" w:eastAsia="楷体_GB2312"/>
        </w:rPr>
        <w:t>法律法规另有规定时从其规定。</w:t>
      </w:r>
    </w:p>
    <w:p>
      <w:pPr>
        <w:snapToGrid w:val="0"/>
        <w:spacing w:line="360" w:lineRule="exact"/>
        <w:ind w:firstLine="420" w:firstLineChars="200"/>
        <w:rPr>
          <w:rFonts w:ascii="楷体_GB2312" w:eastAsia="楷体_GB2312"/>
        </w:rPr>
      </w:pPr>
      <w:r>
        <w:rPr>
          <w:rFonts w:ascii="楷体_GB2312" w:eastAsia="楷体_GB2312"/>
        </w:rPr>
        <w:t>2</w:t>
      </w:r>
      <w:r>
        <w:rPr>
          <w:rFonts w:hint="eastAsia" w:ascii="楷体_GB2312" w:eastAsia="楷体_GB2312"/>
        </w:rPr>
        <w:t>、产品费用支付方式</w:t>
      </w:r>
    </w:p>
    <w:p>
      <w:pPr>
        <w:snapToGrid w:val="0"/>
        <w:spacing w:line="360" w:lineRule="exact"/>
        <w:ind w:firstLine="420" w:firstLineChars="200"/>
        <w:rPr>
          <w:rFonts w:ascii="楷体_GB2312" w:eastAsia="楷体_GB2312"/>
          <w:szCs w:val="21"/>
        </w:rPr>
      </w:pPr>
      <w:r>
        <w:rPr>
          <w:rFonts w:hint="eastAsia" w:ascii="楷体_GB2312" w:eastAsia="楷体_GB2312"/>
          <w:szCs w:val="21"/>
        </w:rPr>
        <w:t>（1）固定管理费和托管费的支付方式</w:t>
      </w:r>
    </w:p>
    <w:p>
      <w:pPr>
        <w:snapToGrid w:val="0"/>
        <w:spacing w:line="360" w:lineRule="exact"/>
        <w:ind w:firstLine="420" w:firstLineChars="200"/>
        <w:rPr>
          <w:rFonts w:ascii="楷体_GB2312" w:eastAsia="楷体_GB2312"/>
          <w:szCs w:val="21"/>
        </w:rPr>
      </w:pPr>
      <w:r>
        <w:rPr>
          <w:rFonts w:hint="eastAsia" w:ascii="楷体_GB2312" w:eastAsia="楷体_GB2312"/>
          <w:szCs w:val="21"/>
        </w:rPr>
        <w:t>由管理人向产品托管人发送产品管理费和托管费划付指令，产品托管人复核后根据托管协议等约定从产品资产中分别一次性支付给管理人和托管人。</w:t>
      </w:r>
    </w:p>
    <w:p>
      <w:pPr>
        <w:snapToGrid w:val="0"/>
        <w:spacing w:line="360" w:lineRule="exact"/>
        <w:ind w:firstLine="420" w:firstLineChars="200"/>
        <w:rPr>
          <w:rFonts w:ascii="楷体_GB2312" w:eastAsia="楷体_GB2312"/>
          <w:szCs w:val="21"/>
        </w:rPr>
      </w:pPr>
      <w:r>
        <w:rPr>
          <w:rFonts w:hint="eastAsia" w:ascii="楷体_GB2312" w:eastAsia="楷体_GB2312"/>
          <w:szCs w:val="21"/>
        </w:rPr>
        <w:t>（2）其他相关服务机构费用：根据相关服务机构的收费标准进行收取。</w:t>
      </w:r>
    </w:p>
    <w:p>
      <w:pPr>
        <w:snapToGrid w:val="0"/>
        <w:spacing w:line="360" w:lineRule="exact"/>
        <w:ind w:firstLine="420" w:firstLineChars="200"/>
        <w:rPr>
          <w:rFonts w:ascii="楷体_GB2312" w:eastAsia="楷体_GB2312"/>
          <w:szCs w:val="21"/>
        </w:rPr>
      </w:pPr>
      <w:r>
        <w:rPr>
          <w:rFonts w:hint="eastAsia" w:ascii="楷体_GB2312" w:eastAsia="楷体_GB2312"/>
          <w:szCs w:val="21"/>
        </w:rPr>
        <w:t>（3）</w:t>
      </w:r>
      <w:r>
        <w:rPr>
          <w:rFonts w:hint="eastAsia" w:ascii="楷体_GB2312" w:eastAsia="楷体_GB2312"/>
          <w:b/>
          <w:bCs/>
          <w:szCs w:val="21"/>
        </w:rPr>
        <w:t>管理人和产品托管人等可磋商酌情调整产品管理费、产品托管费等，但需最晚在变更前三个工作日进行信息披露。</w:t>
      </w:r>
    </w:p>
    <w:p>
      <w:pPr>
        <w:snapToGrid w:val="0"/>
        <w:spacing w:line="360" w:lineRule="atLeast"/>
        <w:ind w:firstLine="361" w:firstLineChars="171"/>
        <w:rPr>
          <w:rFonts w:eastAsia="楷体_GB2312"/>
          <w:b/>
          <w:bCs/>
        </w:rPr>
      </w:pPr>
      <w:r>
        <w:rPr>
          <w:rFonts w:hint="eastAsia" w:eastAsia="楷体_GB2312"/>
          <w:b/>
          <w:bCs/>
        </w:rPr>
        <w:t>（二）产品收益计算</w:t>
      </w:r>
    </w:p>
    <w:p>
      <w:pPr>
        <w:snapToGrid w:val="0"/>
        <w:spacing w:line="360" w:lineRule="atLeast"/>
        <w:ind w:firstLine="359" w:firstLineChars="171"/>
        <w:rPr>
          <w:rFonts w:eastAsia="楷体_GB2312"/>
        </w:rPr>
      </w:pPr>
      <w:r>
        <w:rPr>
          <w:rFonts w:hint="eastAsia" w:eastAsia="楷体_GB2312"/>
        </w:rPr>
        <w:t>产品收益包括：</w:t>
      </w:r>
    </w:p>
    <w:p>
      <w:pPr>
        <w:snapToGrid w:val="0"/>
        <w:spacing w:line="360" w:lineRule="atLeast"/>
        <w:ind w:firstLine="359" w:firstLineChars="171"/>
        <w:rPr>
          <w:rFonts w:eastAsia="楷体_GB2312"/>
        </w:rPr>
      </w:pPr>
      <w:r>
        <w:rPr>
          <w:rFonts w:eastAsia="楷体_GB2312"/>
        </w:rPr>
        <w:t>1</w:t>
      </w:r>
      <w:r>
        <w:rPr>
          <w:rFonts w:hint="eastAsia" w:eastAsia="楷体_GB2312"/>
        </w:rPr>
        <w:t>、本产品投资的债券收益；其他金融工具投资收益及银行存款利息收益。</w:t>
      </w:r>
    </w:p>
    <w:p>
      <w:pPr>
        <w:snapToGrid w:val="0"/>
        <w:spacing w:line="360" w:lineRule="atLeast"/>
        <w:ind w:left="19" w:firstLine="338" w:firstLineChars="161"/>
        <w:rPr>
          <w:rFonts w:hint="eastAsia" w:eastAsia="楷体_GB2312"/>
          <w:b/>
          <w:bCs/>
        </w:rPr>
      </w:pPr>
      <w:r>
        <w:rPr>
          <w:rFonts w:eastAsia="楷体_GB2312"/>
        </w:rPr>
        <w:t>2</w:t>
      </w:r>
      <w:r>
        <w:rPr>
          <w:rFonts w:hint="eastAsia" w:eastAsia="楷体_GB2312"/>
        </w:rPr>
        <w:t>、业绩比较基准（</w:t>
      </w:r>
      <w:r>
        <w:rPr>
          <w:rFonts w:hint="eastAsia" w:eastAsia="楷体_GB2312"/>
          <w:lang w:eastAsia="zh-CN"/>
        </w:rPr>
        <w:t>【</w:t>
      </w:r>
      <w:r>
        <w:rPr>
          <w:rFonts w:eastAsia="楷体_GB2312"/>
        </w:rPr>
        <w:t>R</w:t>
      </w:r>
      <w:r>
        <w:rPr>
          <w:rFonts w:hint="eastAsia" w:eastAsia="楷体_GB2312"/>
          <w:lang w:val="en-US" w:eastAsia="zh-CN"/>
        </w:rPr>
        <w:t>1-R2</w:t>
      </w:r>
      <w:r>
        <w:rPr>
          <w:rFonts w:hint="eastAsia" w:eastAsia="楷体_GB2312"/>
          <w:lang w:eastAsia="zh-CN"/>
        </w:rPr>
        <w:t>】</w:t>
      </w:r>
      <w:r>
        <w:rPr>
          <w:rFonts w:hint="eastAsia" w:eastAsia="楷体_GB2312"/>
        </w:rPr>
        <w:t>）：募集期及开放期内业绩比较基准详见常熟农商银行</w:t>
      </w:r>
      <w:r>
        <w:rPr>
          <w:rFonts w:hint="eastAsia" w:eastAsia="楷体_GB2312"/>
          <w:lang w:eastAsia="zh-CN"/>
        </w:rPr>
        <w:t>各理财销售渠道</w:t>
      </w:r>
      <w:r>
        <w:rPr>
          <w:rFonts w:hint="eastAsia" w:eastAsia="楷体_GB2312"/>
        </w:rPr>
        <w:t>。</w:t>
      </w:r>
      <w:r>
        <w:rPr>
          <w:rFonts w:hint="eastAsia" w:eastAsia="楷体_GB2312"/>
          <w:b/>
          <w:bCs/>
        </w:rPr>
        <w:t>业绩比较基准仅供投资者参考，不构成</w:t>
      </w:r>
      <w:r>
        <w:rPr>
          <w:rFonts w:hint="eastAsia" w:eastAsia="楷体_GB2312"/>
          <w:b/>
          <w:bCs/>
          <w:lang w:val="en-US" w:eastAsia="zh-CN"/>
        </w:rPr>
        <w:t>常熟农商银行</w:t>
      </w:r>
      <w:r>
        <w:rPr>
          <w:rFonts w:hint="eastAsia" w:eastAsia="楷体_GB2312"/>
          <w:b/>
          <w:bCs/>
        </w:rPr>
        <w:t>对</w:t>
      </w:r>
      <w:r>
        <w:rPr>
          <w:rFonts w:hint="eastAsia" w:eastAsia="楷体_GB2312"/>
          <w:b/>
          <w:bCs/>
          <w:lang w:val="en-US" w:eastAsia="zh-CN"/>
        </w:rPr>
        <w:t>本理财</w:t>
      </w:r>
      <w:r>
        <w:rPr>
          <w:rFonts w:hint="eastAsia" w:eastAsia="楷体_GB2312"/>
          <w:b/>
          <w:bCs/>
        </w:rPr>
        <w:t>产品</w:t>
      </w:r>
      <w:r>
        <w:rPr>
          <w:rFonts w:hint="eastAsia" w:eastAsia="楷体_GB2312"/>
          <w:b/>
          <w:bCs/>
          <w:lang w:val="en-US" w:eastAsia="zh-CN"/>
        </w:rPr>
        <w:t>投资收益</w:t>
      </w:r>
      <w:r>
        <w:rPr>
          <w:rFonts w:hint="eastAsia" w:eastAsia="楷体_GB2312"/>
          <w:b/>
          <w:bCs/>
        </w:rPr>
        <w:t>的承诺，投资者的实际收益由产品净值决定。</w:t>
      </w:r>
    </w:p>
    <w:p>
      <w:pPr>
        <w:snapToGrid w:val="0"/>
        <w:spacing w:line="360" w:lineRule="atLeast"/>
        <w:ind w:left="19" w:firstLine="338" w:firstLineChars="161"/>
        <w:rPr>
          <w:rFonts w:hint="default" w:eastAsia="楷体_GB2312"/>
          <w:b w:val="0"/>
          <w:bCs w:val="0"/>
          <w:lang w:val="en-US" w:eastAsia="zh-CN"/>
        </w:rPr>
      </w:pPr>
      <w:r>
        <w:rPr>
          <w:rFonts w:hint="eastAsia" w:eastAsia="楷体_GB2312"/>
          <w:b w:val="0"/>
          <w:bCs w:val="0"/>
          <w:lang w:val="en-US" w:eastAsia="zh-CN"/>
        </w:rPr>
        <w:t>R1为本理财产品业绩比较基准下限，R2为本理财产品业绩比较基准上限。</w:t>
      </w:r>
    </w:p>
    <w:p>
      <w:pPr>
        <w:snapToGrid w:val="0"/>
        <w:spacing w:line="360" w:lineRule="atLeast"/>
        <w:ind w:left="19" w:firstLine="338" w:firstLineChars="161"/>
        <w:rPr>
          <w:rFonts w:eastAsia="楷体_GB2312"/>
        </w:rPr>
      </w:pPr>
      <w:r>
        <w:rPr>
          <w:rFonts w:eastAsia="楷体_GB2312"/>
        </w:rPr>
        <w:t>3</w:t>
      </w:r>
      <w:r>
        <w:rPr>
          <w:rFonts w:hint="eastAsia" w:eastAsia="楷体_GB2312"/>
        </w:rPr>
        <w:t>、</w:t>
      </w:r>
      <w:r>
        <w:rPr>
          <w:rFonts w:hint="eastAsia" w:eastAsia="楷体_GB2312"/>
          <w:lang w:val="en-US" w:eastAsia="zh-CN"/>
        </w:rPr>
        <w:t>超额</w:t>
      </w:r>
      <w:r>
        <w:rPr>
          <w:rFonts w:hint="eastAsia" w:eastAsia="楷体_GB2312"/>
        </w:rPr>
        <w:t>业绩报酬：如产品收益（扣除固定管理费</w:t>
      </w:r>
      <w:r>
        <w:rPr>
          <w:rFonts w:hint="eastAsia" w:eastAsia="楷体_GB2312"/>
          <w:lang w:eastAsia="zh-CN"/>
        </w:rPr>
        <w:t>、</w:t>
      </w:r>
      <w:r>
        <w:rPr>
          <w:rFonts w:hint="eastAsia" w:eastAsia="楷体_GB2312"/>
        </w:rPr>
        <w:t>托管费等相关费用）超过业绩</w:t>
      </w:r>
      <w:r>
        <w:rPr>
          <w:rFonts w:hint="eastAsia" w:eastAsia="楷体_GB2312"/>
          <w:lang w:val="en-US" w:eastAsia="zh-CN"/>
        </w:rPr>
        <w:t>比较</w:t>
      </w:r>
      <w:r>
        <w:rPr>
          <w:rFonts w:hint="eastAsia" w:eastAsia="楷体_GB2312"/>
        </w:rPr>
        <w:t>基准</w:t>
      </w:r>
      <w:r>
        <w:rPr>
          <w:rFonts w:hint="eastAsia" w:eastAsia="楷体_GB2312"/>
          <w:lang w:eastAsia="zh-CN"/>
        </w:rPr>
        <w:t>下限</w:t>
      </w:r>
      <w:r>
        <w:rPr>
          <w:rFonts w:hint="eastAsia" w:eastAsia="楷体_GB2312"/>
          <w:lang w:val="en-US" w:eastAsia="zh-CN"/>
        </w:rPr>
        <w:t>R1</w:t>
      </w:r>
      <w:r>
        <w:rPr>
          <w:rFonts w:hint="eastAsia" w:eastAsia="楷体_GB2312"/>
        </w:rPr>
        <w:t>时，</w:t>
      </w:r>
      <w:r>
        <w:rPr>
          <w:rFonts w:hint="eastAsia" w:ascii="Times New Roman" w:hAnsi="Times New Roman" w:eastAsia="楷体_GB2312"/>
        </w:rPr>
        <w:t>超</w:t>
      </w:r>
      <w:r>
        <w:rPr>
          <w:rFonts w:hint="eastAsia" w:ascii="Times New Roman" w:hAnsi="Times New Roman" w:eastAsia="楷体_GB2312"/>
          <w:lang w:val="en-US" w:eastAsia="zh-CN"/>
        </w:rPr>
        <w:t>过</w:t>
      </w:r>
      <w:r>
        <w:rPr>
          <w:rFonts w:hint="eastAsia" w:ascii="Times New Roman" w:hAnsi="Times New Roman" w:eastAsia="楷体_GB2312"/>
        </w:rPr>
        <w:t>部分的8</w:t>
      </w:r>
      <w:r>
        <w:rPr>
          <w:rFonts w:ascii="Times New Roman" w:hAnsi="Times New Roman" w:eastAsia="楷体_GB2312"/>
        </w:rPr>
        <w:t>0</w:t>
      </w:r>
      <w:r>
        <w:rPr>
          <w:rFonts w:hint="eastAsia" w:ascii="Times New Roman" w:hAnsi="Times New Roman" w:eastAsia="楷体_GB2312"/>
        </w:rPr>
        <w:t>%作为</w:t>
      </w:r>
      <w:r>
        <w:rPr>
          <w:rFonts w:hint="eastAsia" w:ascii="Times New Roman" w:hAnsi="Times New Roman" w:eastAsia="楷体_GB2312"/>
          <w:lang w:val="en-US" w:eastAsia="zh-CN"/>
        </w:rPr>
        <w:t>超额</w:t>
      </w:r>
      <w:r>
        <w:rPr>
          <w:rFonts w:hint="eastAsia" w:ascii="Times New Roman" w:hAnsi="Times New Roman" w:eastAsia="楷体_GB2312"/>
        </w:rPr>
        <w:t>业绩报酬由管理人收取</w:t>
      </w:r>
      <w:r>
        <w:rPr>
          <w:rFonts w:hint="eastAsia" w:ascii="Times New Roman" w:hAnsi="Times New Roman" w:eastAsia="楷体_GB2312"/>
          <w:b w:val="0"/>
          <w:bCs w:val="0"/>
          <w:lang w:eastAsia="zh-CN"/>
        </w:rPr>
        <w:t>，</w:t>
      </w:r>
      <w:r>
        <w:rPr>
          <w:rFonts w:hint="eastAsia" w:ascii="Times New Roman" w:hAnsi="Times New Roman" w:eastAsia="楷体_GB2312"/>
          <w:b w:val="0"/>
          <w:bCs w:val="0"/>
          <w:lang w:val="en-US" w:eastAsia="zh-CN"/>
        </w:rPr>
        <w:t>其余20%归投资者所有</w:t>
      </w:r>
      <w:r>
        <w:rPr>
          <w:rFonts w:hint="eastAsia" w:ascii="Times New Roman" w:hAnsi="Times New Roman" w:eastAsia="楷体_GB2312"/>
        </w:rPr>
        <w:t>。</w:t>
      </w:r>
    </w:p>
    <w:p>
      <w:pPr>
        <w:snapToGrid w:val="0"/>
        <w:spacing w:line="360" w:lineRule="atLeast"/>
        <w:ind w:firstLine="420" w:firstLineChars="200"/>
        <w:rPr>
          <w:rFonts w:eastAsia="楷体_GB2312"/>
        </w:rPr>
      </w:pPr>
      <w:r>
        <w:rPr>
          <w:rFonts w:hint="eastAsia" w:eastAsia="楷体_GB2312"/>
        </w:rPr>
        <w:t>扣除固定管理费</w:t>
      </w:r>
      <w:r>
        <w:rPr>
          <w:rFonts w:hint="eastAsia" w:eastAsia="楷体_GB2312"/>
          <w:lang w:eastAsia="zh-CN"/>
        </w:rPr>
        <w:t>、</w:t>
      </w:r>
      <w:r>
        <w:rPr>
          <w:rFonts w:hint="eastAsia" w:eastAsia="楷体_GB2312"/>
        </w:rPr>
        <w:t>托管费等相关费用后，投资者赎回日产品收益率（</w:t>
      </w:r>
      <w:r>
        <w:rPr>
          <w:rFonts w:eastAsia="楷体_GB2312"/>
        </w:rPr>
        <w:t>r</w:t>
      </w:r>
      <w:r>
        <w:rPr>
          <w:rFonts w:hint="eastAsia" w:eastAsia="楷体_GB2312"/>
        </w:rPr>
        <w:t>），收益分配存在下面三种情况：</w:t>
      </w:r>
    </w:p>
    <w:p>
      <w:pPr>
        <w:snapToGrid w:val="0"/>
        <w:spacing w:line="360" w:lineRule="atLeast"/>
        <w:ind w:left="19" w:firstLine="401"/>
        <w:rPr>
          <w:rFonts w:eastAsia="楷体_GB2312"/>
        </w:rPr>
      </w:pPr>
      <w:r>
        <w:rPr>
          <w:rFonts w:hint="eastAsia" w:eastAsia="楷体_GB2312"/>
        </w:rPr>
        <w:t>情形</w:t>
      </w:r>
      <w:r>
        <w:rPr>
          <w:rFonts w:eastAsia="楷体_GB2312"/>
        </w:rPr>
        <w:t>1</w:t>
      </w:r>
      <w:r>
        <w:rPr>
          <w:rFonts w:hint="eastAsia" w:eastAsia="楷体_GB2312"/>
        </w:rPr>
        <w:t>：</w:t>
      </w:r>
      <w:r>
        <w:rPr>
          <w:rFonts w:eastAsia="楷体_GB2312"/>
        </w:rPr>
        <w:t>r&gt;R</w:t>
      </w:r>
      <w:r>
        <w:rPr>
          <w:rFonts w:hint="eastAsia" w:eastAsia="楷体_GB2312"/>
          <w:lang w:val="en-US" w:eastAsia="zh-CN"/>
        </w:rPr>
        <w:t>1</w:t>
      </w:r>
      <w:r>
        <w:rPr>
          <w:rFonts w:hint="eastAsia" w:eastAsia="楷体_GB2312"/>
        </w:rPr>
        <w:t>，则常熟农商银行实际收取</w:t>
      </w:r>
      <w:r>
        <w:rPr>
          <w:rFonts w:hint="eastAsia" w:eastAsia="楷体_GB2312"/>
          <w:lang w:val="en-US" w:eastAsia="zh-CN"/>
        </w:rPr>
        <w:t>超额</w:t>
      </w:r>
      <w:r>
        <w:rPr>
          <w:rFonts w:hint="eastAsia" w:eastAsia="楷体_GB2312"/>
        </w:rPr>
        <w:t>业绩报酬的年化比率为（</w:t>
      </w:r>
      <w:r>
        <w:rPr>
          <w:rFonts w:eastAsia="楷体_GB2312"/>
        </w:rPr>
        <w:t>r-R</w:t>
      </w:r>
      <w:r>
        <w:rPr>
          <w:rFonts w:hint="eastAsia" w:eastAsia="楷体_GB2312"/>
          <w:lang w:val="en-US" w:eastAsia="zh-CN"/>
        </w:rPr>
        <w:t>1</w:t>
      </w:r>
      <w:r>
        <w:rPr>
          <w:rFonts w:hint="eastAsia" w:eastAsia="楷体_GB2312"/>
        </w:rPr>
        <w:t>）*</w:t>
      </w:r>
      <w:r>
        <w:rPr>
          <w:rFonts w:eastAsia="楷体_GB2312"/>
        </w:rPr>
        <w:t>80%</w:t>
      </w:r>
      <w:r>
        <w:rPr>
          <w:rFonts w:hint="eastAsia" w:eastAsia="楷体_GB2312"/>
        </w:rPr>
        <w:t>，</w:t>
      </w:r>
      <w:r>
        <w:rPr>
          <w:rFonts w:hint="eastAsia" w:ascii="Times New Roman" w:hAnsi="Times New Roman" w:eastAsia="楷体_GB2312"/>
        </w:rPr>
        <w:t>投资者实际收益为</w:t>
      </w:r>
      <w:r>
        <w:rPr>
          <w:rFonts w:hint="eastAsia" w:hAnsi="Times New Roman" w:eastAsia="楷体_GB2312" w:asciiTheme="minorAscii"/>
        </w:rPr>
        <w:t>R</w:t>
      </w:r>
      <w:r>
        <w:rPr>
          <w:rFonts w:hint="eastAsia" w:ascii="Times New Roman" w:hAnsi="Times New Roman" w:eastAsia="楷体_GB2312"/>
          <w:lang w:val="en-US" w:eastAsia="zh-CN"/>
        </w:rPr>
        <w:t>1</w:t>
      </w:r>
      <w:r>
        <w:rPr>
          <w:rFonts w:hint="eastAsia" w:ascii="Times New Roman" w:hAnsi="Times New Roman" w:eastAsia="楷体_GB2312"/>
        </w:rPr>
        <w:t>+</w:t>
      </w:r>
      <w:r>
        <w:rPr>
          <w:rFonts w:hint="eastAsia" w:eastAsia="楷体_GB2312"/>
        </w:rPr>
        <w:t>（</w:t>
      </w:r>
      <w:r>
        <w:rPr>
          <w:rFonts w:eastAsia="楷体_GB2312"/>
        </w:rPr>
        <w:t>r-R</w:t>
      </w:r>
      <w:r>
        <w:rPr>
          <w:rFonts w:hint="eastAsia" w:eastAsia="楷体_GB2312"/>
          <w:lang w:val="en-US" w:eastAsia="zh-CN"/>
        </w:rPr>
        <w:t>1</w:t>
      </w:r>
      <w:r>
        <w:rPr>
          <w:rFonts w:hint="eastAsia" w:eastAsia="楷体_GB2312"/>
        </w:rPr>
        <w:t>）*</w:t>
      </w:r>
      <w:r>
        <w:rPr>
          <w:rFonts w:eastAsia="楷体_GB2312"/>
        </w:rPr>
        <w:t>20</w:t>
      </w:r>
      <w:r>
        <w:rPr>
          <w:rFonts w:hint="eastAsia" w:eastAsia="楷体_GB2312"/>
        </w:rPr>
        <w:t>%。</w:t>
      </w:r>
    </w:p>
    <w:p>
      <w:pPr>
        <w:snapToGrid w:val="0"/>
        <w:spacing w:line="360" w:lineRule="atLeast"/>
        <w:ind w:firstLine="420" w:firstLineChars="200"/>
        <w:rPr>
          <w:rFonts w:eastAsia="楷体_GB2312"/>
        </w:rPr>
      </w:pPr>
      <w:r>
        <w:rPr>
          <w:rFonts w:hint="eastAsia" w:eastAsia="楷体_GB2312"/>
        </w:rPr>
        <w:t>情形</w:t>
      </w:r>
      <w:r>
        <w:rPr>
          <w:rFonts w:eastAsia="楷体_GB2312"/>
        </w:rPr>
        <w:t>2</w:t>
      </w:r>
      <w:r>
        <w:rPr>
          <w:rFonts w:hint="eastAsia" w:eastAsia="楷体_GB2312"/>
        </w:rPr>
        <w:t>：</w:t>
      </w:r>
      <w:r>
        <w:rPr>
          <w:rFonts w:eastAsia="楷体_GB2312"/>
        </w:rPr>
        <w:t>0&lt;r</w:t>
      </w:r>
      <w:r>
        <w:rPr>
          <w:rFonts w:hint="eastAsia" w:eastAsia="楷体_GB2312"/>
        </w:rPr>
        <w:t>≤</w:t>
      </w:r>
      <w:r>
        <w:rPr>
          <w:rFonts w:eastAsia="楷体_GB2312"/>
        </w:rPr>
        <w:t>R</w:t>
      </w:r>
      <w:r>
        <w:rPr>
          <w:rFonts w:hint="eastAsia" w:eastAsia="楷体_GB2312"/>
          <w:lang w:val="en-US" w:eastAsia="zh-CN"/>
        </w:rPr>
        <w:t>1</w:t>
      </w:r>
      <w:r>
        <w:rPr>
          <w:rFonts w:hint="eastAsia" w:eastAsia="楷体_GB2312"/>
        </w:rPr>
        <w:t>，投资者实际收益为</w:t>
      </w:r>
      <w:r>
        <w:rPr>
          <w:rFonts w:eastAsia="楷体_GB2312"/>
        </w:rPr>
        <w:t>r</w:t>
      </w:r>
      <w:r>
        <w:rPr>
          <w:rFonts w:hint="eastAsia" w:eastAsia="楷体_GB2312"/>
        </w:rPr>
        <w:t>，常熟农商银行不收取</w:t>
      </w:r>
      <w:r>
        <w:rPr>
          <w:rFonts w:hint="eastAsia" w:eastAsia="楷体_GB2312"/>
          <w:lang w:val="en-US" w:eastAsia="zh-CN"/>
        </w:rPr>
        <w:t>超额</w:t>
      </w:r>
      <w:r>
        <w:rPr>
          <w:rFonts w:hint="eastAsia" w:eastAsia="楷体_GB2312"/>
        </w:rPr>
        <w:t>业绩报酬。</w:t>
      </w:r>
    </w:p>
    <w:p>
      <w:pPr>
        <w:snapToGrid w:val="0"/>
        <w:spacing w:line="360" w:lineRule="atLeast"/>
        <w:ind w:firstLine="420" w:firstLineChars="200"/>
        <w:rPr>
          <w:rFonts w:eastAsia="楷体_GB2312"/>
        </w:rPr>
      </w:pPr>
      <w:r>
        <w:rPr>
          <w:rFonts w:hint="eastAsia" w:eastAsia="楷体_GB2312"/>
        </w:rPr>
        <w:t>情形</w:t>
      </w:r>
      <w:r>
        <w:rPr>
          <w:rFonts w:eastAsia="楷体_GB2312"/>
        </w:rPr>
        <w:t>3</w:t>
      </w:r>
      <w:r>
        <w:rPr>
          <w:rFonts w:hint="eastAsia" w:eastAsia="楷体_GB2312"/>
        </w:rPr>
        <w:t>：</w:t>
      </w:r>
      <w:r>
        <w:rPr>
          <w:rFonts w:eastAsia="楷体_GB2312"/>
        </w:rPr>
        <w:t>r&lt;0</w:t>
      </w:r>
      <w:r>
        <w:rPr>
          <w:rFonts w:hint="eastAsia" w:eastAsia="楷体_GB2312"/>
        </w:rPr>
        <w:t>，投资者本金发生亏损，无收益，常熟农商银行不收取</w:t>
      </w:r>
      <w:r>
        <w:rPr>
          <w:rFonts w:hint="eastAsia" w:eastAsia="楷体_GB2312"/>
          <w:lang w:val="en-US" w:eastAsia="zh-CN"/>
        </w:rPr>
        <w:t>超额</w:t>
      </w:r>
      <w:r>
        <w:rPr>
          <w:rFonts w:hint="eastAsia" w:eastAsia="楷体_GB2312"/>
        </w:rPr>
        <w:t>业绩报酬，在最不利于情形下，投资者可能损失全部本金。</w:t>
      </w:r>
    </w:p>
    <w:p>
      <w:pPr>
        <w:snapToGrid w:val="0"/>
        <w:spacing w:line="360" w:lineRule="atLeast"/>
        <w:ind w:firstLine="422" w:firstLineChars="200"/>
        <w:rPr>
          <w:rFonts w:eastAsia="楷体_GB2312"/>
          <w:b/>
          <w:bCs/>
        </w:rPr>
      </w:pPr>
      <w:r>
        <w:rPr>
          <w:rFonts w:hint="eastAsia" w:eastAsia="楷体_GB2312"/>
          <w:b/>
          <w:bCs/>
        </w:rPr>
        <w:t>收益计算示例：</w:t>
      </w:r>
    </w:p>
    <w:p>
      <w:pPr>
        <w:snapToGrid w:val="0"/>
        <w:spacing w:line="360" w:lineRule="atLeast"/>
        <w:ind w:firstLine="420" w:firstLineChars="200"/>
        <w:rPr>
          <w:rFonts w:eastAsia="楷体_GB2312"/>
        </w:rPr>
      </w:pPr>
      <w:r>
        <w:rPr>
          <w:rFonts w:hint="eastAsia" w:eastAsia="楷体_GB2312"/>
        </w:rPr>
        <w:t>假设</w:t>
      </w:r>
      <w:r>
        <w:rPr>
          <w:rFonts w:hint="eastAsia" w:eastAsia="楷体_GB2312"/>
          <w:lang w:eastAsia="zh-CN"/>
        </w:rPr>
        <w:t>投资者</w:t>
      </w:r>
      <w:r>
        <w:rPr>
          <w:rFonts w:hint="eastAsia" w:eastAsia="楷体_GB2312"/>
        </w:rPr>
        <w:t>申购本产品</w:t>
      </w:r>
      <w:r>
        <w:rPr>
          <w:rFonts w:eastAsia="楷体_GB2312"/>
        </w:rPr>
        <w:t>5</w:t>
      </w:r>
      <w:r>
        <w:rPr>
          <w:rFonts w:hint="eastAsia" w:eastAsia="楷体_GB2312"/>
        </w:rPr>
        <w:t>万元，公布的</w:t>
      </w:r>
      <w:r>
        <w:rPr>
          <w:rFonts w:eastAsia="楷体_GB2312"/>
        </w:rPr>
        <w:t>364</w:t>
      </w:r>
      <w:r>
        <w:rPr>
          <w:rFonts w:hint="eastAsia" w:eastAsia="楷体_GB2312"/>
        </w:rPr>
        <w:t>天业绩比较基准</w:t>
      </w:r>
      <w:r>
        <w:rPr>
          <w:rFonts w:hint="eastAsia" w:eastAsia="楷体_GB2312"/>
          <w:lang w:eastAsia="zh-CN"/>
        </w:rPr>
        <w:t>下限</w:t>
      </w:r>
      <w:r>
        <w:rPr>
          <w:rFonts w:hint="eastAsia" w:eastAsia="楷体_GB2312"/>
          <w:lang w:val="en-US" w:eastAsia="zh-CN"/>
        </w:rPr>
        <w:t>R1</w:t>
      </w:r>
      <w:r>
        <w:rPr>
          <w:rFonts w:hint="eastAsia" w:eastAsia="楷体_GB2312"/>
        </w:rPr>
        <w:t>为</w:t>
      </w:r>
      <w:r>
        <w:rPr>
          <w:rFonts w:eastAsia="楷体_GB2312"/>
        </w:rPr>
        <w:t>4.50%</w:t>
      </w:r>
      <w:r>
        <w:rPr>
          <w:rFonts w:hint="eastAsia" w:eastAsia="楷体_GB2312"/>
        </w:rPr>
        <w:t>，假设申购确认时的产品净值为</w:t>
      </w:r>
      <w:r>
        <w:rPr>
          <w:rFonts w:eastAsia="楷体_GB2312"/>
        </w:rPr>
        <w:t>1.00034567</w:t>
      </w:r>
      <w:r>
        <w:rPr>
          <w:rFonts w:hint="eastAsia" w:eastAsia="楷体_GB2312"/>
        </w:rPr>
        <w:t>，</w:t>
      </w:r>
      <w:r>
        <w:rPr>
          <w:rFonts w:hint="eastAsia" w:eastAsia="楷体_GB2312"/>
          <w:lang w:eastAsia="zh-CN"/>
        </w:rPr>
        <w:t>投资者</w:t>
      </w:r>
      <w:r>
        <w:rPr>
          <w:rFonts w:hint="eastAsia" w:eastAsia="楷体_GB2312"/>
        </w:rPr>
        <w:t>确认份额为</w:t>
      </w:r>
      <w:r>
        <w:rPr>
          <w:rFonts w:eastAsia="楷体_GB2312"/>
        </w:rPr>
        <w:t>49982.72</w:t>
      </w:r>
      <w:r>
        <w:rPr>
          <w:rFonts w:hint="eastAsia" w:eastAsia="楷体_GB2312"/>
        </w:rPr>
        <w:t>份。</w:t>
      </w:r>
      <w:r>
        <w:rPr>
          <w:rFonts w:hint="eastAsia" w:eastAsia="楷体_GB2312"/>
          <w:lang w:eastAsia="zh-CN"/>
        </w:rPr>
        <w:t>投资者</w:t>
      </w:r>
      <w:r>
        <w:rPr>
          <w:rFonts w:hint="eastAsia" w:eastAsia="楷体_GB2312"/>
        </w:rPr>
        <w:t>份额运作满</w:t>
      </w:r>
      <w:r>
        <w:rPr>
          <w:rFonts w:eastAsia="楷体_GB2312"/>
        </w:rPr>
        <w:t>364</w:t>
      </w:r>
      <w:r>
        <w:rPr>
          <w:rFonts w:hint="eastAsia" w:eastAsia="楷体_GB2312"/>
        </w:rPr>
        <w:t>天自动赎回退出，根据赎回退出日的产品单位净值计算有以下</w:t>
      </w:r>
      <w:r>
        <w:rPr>
          <w:rFonts w:eastAsia="楷体_GB2312"/>
        </w:rPr>
        <w:t>3</w:t>
      </w:r>
      <w:r>
        <w:rPr>
          <w:rFonts w:hint="eastAsia" w:eastAsia="楷体_GB2312"/>
        </w:rPr>
        <w:t>种情形。</w:t>
      </w:r>
    </w:p>
    <w:p>
      <w:pPr>
        <w:snapToGrid w:val="0"/>
        <w:spacing w:line="360" w:lineRule="atLeast"/>
        <w:ind w:firstLine="420" w:firstLineChars="200"/>
        <w:rPr>
          <w:rFonts w:eastAsia="楷体_GB2312"/>
        </w:rPr>
      </w:pPr>
      <w:r>
        <w:rPr>
          <w:rFonts w:hint="eastAsia" w:eastAsia="楷体_GB2312"/>
        </w:rPr>
        <w:t>情形</w:t>
      </w:r>
      <w:r>
        <w:rPr>
          <w:rFonts w:eastAsia="楷体_GB2312"/>
        </w:rPr>
        <w:t>1</w:t>
      </w:r>
      <w:r>
        <w:rPr>
          <w:rFonts w:hint="eastAsia" w:eastAsia="楷体_GB2312"/>
        </w:rPr>
        <w:t>：假设赎回退出时产品单位净值为1.06399287，</w:t>
      </w:r>
      <w:r>
        <w:rPr>
          <w:rFonts w:hint="eastAsia" w:eastAsia="楷体_GB2312"/>
          <w:lang w:eastAsia="zh-CN"/>
        </w:rPr>
        <w:t>投资者</w:t>
      </w:r>
      <w:r>
        <w:rPr>
          <w:rFonts w:hint="eastAsia" w:eastAsia="楷体_GB2312"/>
        </w:rPr>
        <w:t>份额持有期间净值增长率为</w:t>
      </w:r>
      <w:r>
        <w:rPr>
          <w:rFonts w:eastAsia="楷体_GB2312"/>
        </w:rPr>
        <w:t>6.38%</w:t>
      </w:r>
      <w:r>
        <w:rPr>
          <w:rFonts w:hint="eastAsia" w:eastAsia="楷体_GB2312"/>
        </w:rPr>
        <w:t>（大于业绩比较基准</w:t>
      </w:r>
      <w:r>
        <w:rPr>
          <w:rFonts w:hint="eastAsia" w:eastAsia="楷体_GB2312"/>
          <w:lang w:eastAsia="zh-CN"/>
        </w:rPr>
        <w:t>下限</w:t>
      </w:r>
      <w:r>
        <w:rPr>
          <w:rFonts w:hint="eastAsia" w:eastAsia="楷体_GB2312"/>
          <w:lang w:val="en-US" w:eastAsia="zh-CN"/>
        </w:rPr>
        <w:t xml:space="preserve">R1 </w:t>
      </w:r>
      <w:r>
        <w:rPr>
          <w:rFonts w:eastAsia="楷体_GB2312"/>
        </w:rPr>
        <w:t>4.50%</w:t>
      </w:r>
      <w:r>
        <w:rPr>
          <w:rFonts w:hint="eastAsia" w:eastAsia="楷体_GB2312"/>
        </w:rPr>
        <w:t>），则常熟农商银行收取</w:t>
      </w:r>
      <w:r>
        <w:rPr>
          <w:rFonts w:eastAsia="楷体_GB2312"/>
        </w:rPr>
        <w:t>1.5%</w:t>
      </w:r>
      <w:r>
        <w:rPr>
          <w:rFonts w:hint="eastAsia" w:eastAsia="楷体_GB2312"/>
        </w:rPr>
        <w:t>的</w:t>
      </w:r>
      <w:r>
        <w:rPr>
          <w:rFonts w:hint="eastAsia" w:eastAsia="楷体_GB2312"/>
          <w:lang w:eastAsia="zh-CN"/>
        </w:rPr>
        <w:t>超额</w:t>
      </w:r>
      <w:r>
        <w:rPr>
          <w:rFonts w:hint="eastAsia" w:eastAsia="楷体_GB2312"/>
        </w:rPr>
        <w:t>业绩报酬，</w:t>
      </w:r>
      <w:r>
        <w:rPr>
          <w:rFonts w:hint="eastAsia" w:eastAsia="楷体_GB2312"/>
          <w:lang w:eastAsia="zh-CN"/>
        </w:rPr>
        <w:t>投资者</w:t>
      </w:r>
      <w:r>
        <w:rPr>
          <w:rFonts w:hint="eastAsia" w:eastAsia="楷体_GB2312"/>
        </w:rPr>
        <w:t>实际收益率为</w:t>
      </w:r>
      <w:r>
        <w:rPr>
          <w:rFonts w:eastAsia="楷体_GB2312"/>
        </w:rPr>
        <w:t>4.88%</w:t>
      </w:r>
      <w:r>
        <w:rPr>
          <w:rFonts w:hint="eastAsia" w:eastAsia="楷体_GB2312"/>
        </w:rPr>
        <w:t>。</w:t>
      </w:r>
    </w:p>
    <w:p>
      <w:pPr>
        <w:snapToGrid w:val="0"/>
        <w:spacing w:line="360" w:lineRule="atLeast"/>
        <w:ind w:firstLine="420" w:firstLineChars="200"/>
        <w:rPr>
          <w:rFonts w:eastAsia="楷体_GB2312"/>
        </w:rPr>
      </w:pPr>
      <w:r>
        <w:rPr>
          <w:rFonts w:hint="eastAsia" w:eastAsia="楷体_GB2312"/>
        </w:rPr>
        <w:t>情形</w:t>
      </w:r>
      <w:r>
        <w:rPr>
          <w:rFonts w:eastAsia="楷体_GB2312"/>
        </w:rPr>
        <w:t>2</w:t>
      </w:r>
      <w:r>
        <w:rPr>
          <w:rFonts w:hint="eastAsia" w:eastAsia="楷体_GB2312"/>
        </w:rPr>
        <w:t>：假设赎回退出时产品单位净值为1.03236879，</w:t>
      </w:r>
      <w:r>
        <w:rPr>
          <w:rFonts w:hint="eastAsia" w:eastAsia="楷体_GB2312"/>
          <w:lang w:eastAsia="zh-CN"/>
        </w:rPr>
        <w:t>投资者</w:t>
      </w:r>
      <w:r>
        <w:rPr>
          <w:rFonts w:hint="eastAsia" w:eastAsia="楷体_GB2312"/>
        </w:rPr>
        <w:t>份额持有期间净值增长率为</w:t>
      </w:r>
      <w:r>
        <w:rPr>
          <w:rFonts w:eastAsia="楷体_GB2312"/>
        </w:rPr>
        <w:t>3.21%</w:t>
      </w:r>
      <w:r>
        <w:rPr>
          <w:rFonts w:hint="eastAsia" w:eastAsia="楷体_GB2312"/>
        </w:rPr>
        <w:t>，</w:t>
      </w:r>
      <w:r>
        <w:rPr>
          <w:rFonts w:hint="eastAsia" w:eastAsia="楷体_GB2312"/>
          <w:lang w:eastAsia="zh-CN"/>
        </w:rPr>
        <w:t>投资者</w:t>
      </w:r>
      <w:r>
        <w:rPr>
          <w:rFonts w:hint="eastAsia" w:eastAsia="楷体_GB2312"/>
        </w:rPr>
        <w:t>按赎回退出时产品单位净值兑付，</w:t>
      </w:r>
      <w:r>
        <w:rPr>
          <w:rFonts w:hint="eastAsia" w:eastAsia="楷体_GB2312"/>
          <w:lang w:eastAsia="zh-CN"/>
        </w:rPr>
        <w:t>投资者</w:t>
      </w:r>
      <w:r>
        <w:rPr>
          <w:rFonts w:hint="eastAsia" w:eastAsia="楷体_GB2312"/>
        </w:rPr>
        <w:t>实际收益为</w:t>
      </w:r>
      <w:r>
        <w:rPr>
          <w:rFonts w:eastAsia="楷体_GB2312"/>
        </w:rPr>
        <w:t>3.21%</w:t>
      </w:r>
      <w:r>
        <w:rPr>
          <w:rFonts w:hint="eastAsia" w:eastAsia="楷体_GB2312"/>
        </w:rPr>
        <w:t>，常熟农商银行无</w:t>
      </w:r>
      <w:r>
        <w:rPr>
          <w:rFonts w:hint="eastAsia" w:eastAsia="楷体_GB2312"/>
          <w:lang w:eastAsia="zh-CN"/>
        </w:rPr>
        <w:t>超额</w:t>
      </w:r>
      <w:r>
        <w:rPr>
          <w:rFonts w:hint="eastAsia" w:eastAsia="楷体_GB2312"/>
        </w:rPr>
        <w:t>业绩报酬。</w:t>
      </w:r>
    </w:p>
    <w:p>
      <w:pPr>
        <w:snapToGrid w:val="0"/>
        <w:spacing w:line="360" w:lineRule="atLeast"/>
        <w:ind w:firstLine="420" w:firstLineChars="200"/>
        <w:rPr>
          <w:rFonts w:eastAsia="楷体_GB2312"/>
        </w:rPr>
      </w:pPr>
      <w:r>
        <w:rPr>
          <w:rFonts w:hint="eastAsia" w:eastAsia="楷体_GB2312"/>
        </w:rPr>
        <w:t>情形3：假设赎回退出时产品净值为0.99894902，</w:t>
      </w:r>
      <w:r>
        <w:rPr>
          <w:rFonts w:hint="eastAsia" w:eastAsia="楷体_GB2312"/>
          <w:lang w:eastAsia="zh-CN"/>
        </w:rPr>
        <w:t>投资者</w:t>
      </w:r>
      <w:r>
        <w:rPr>
          <w:rFonts w:hint="eastAsia" w:eastAsia="楷体_GB2312"/>
        </w:rPr>
        <w:t>份额持有</w:t>
      </w:r>
      <w:r>
        <w:rPr>
          <w:rFonts w:hint="eastAsia" w:eastAsia="楷体_GB2312"/>
          <w:lang w:eastAsia="zh-CN"/>
        </w:rPr>
        <w:t>期间</w:t>
      </w:r>
      <w:r>
        <w:rPr>
          <w:rFonts w:hint="eastAsia" w:eastAsia="楷体_GB2312"/>
        </w:rPr>
        <w:t>净值增长率</w:t>
      </w:r>
      <w:r>
        <w:rPr>
          <w:rFonts w:eastAsia="楷体_GB2312"/>
        </w:rPr>
        <w:t>-0.14%</w:t>
      </w:r>
      <w:r>
        <w:rPr>
          <w:rFonts w:hint="eastAsia" w:eastAsia="楷体_GB2312"/>
        </w:rPr>
        <w:t>，</w:t>
      </w:r>
      <w:r>
        <w:rPr>
          <w:rFonts w:hint="eastAsia" w:eastAsia="楷体_GB2312"/>
          <w:lang w:eastAsia="zh-CN"/>
        </w:rPr>
        <w:t>投资者</w:t>
      </w:r>
      <w:r>
        <w:rPr>
          <w:rFonts w:hint="eastAsia" w:eastAsia="楷体_GB2312"/>
        </w:rPr>
        <w:t>按赎回退出日产品单位净值兑付，</w:t>
      </w:r>
      <w:r>
        <w:rPr>
          <w:rFonts w:hint="eastAsia" w:eastAsia="楷体_GB2312"/>
          <w:lang w:eastAsia="zh-CN"/>
        </w:rPr>
        <w:t>投资者</w:t>
      </w:r>
      <w:r>
        <w:rPr>
          <w:rFonts w:hint="eastAsia" w:eastAsia="楷体_GB2312"/>
        </w:rPr>
        <w:t>无收益，实际发生本金损失</w:t>
      </w:r>
      <w:r>
        <w:rPr>
          <w:rFonts w:eastAsia="楷体_GB2312"/>
        </w:rPr>
        <w:t>0.14%</w:t>
      </w:r>
      <w:r>
        <w:rPr>
          <w:rFonts w:hint="eastAsia" w:eastAsia="楷体_GB2312"/>
        </w:rPr>
        <w:t>，常熟农商银行无</w:t>
      </w:r>
      <w:r>
        <w:rPr>
          <w:rFonts w:hint="eastAsia" w:eastAsia="楷体_GB2312"/>
          <w:lang w:eastAsia="zh-CN"/>
        </w:rPr>
        <w:t>超额</w:t>
      </w:r>
      <w:r>
        <w:rPr>
          <w:rFonts w:hint="eastAsia" w:eastAsia="楷体_GB2312"/>
        </w:rPr>
        <w:t>业绩报酬。</w:t>
      </w:r>
    </w:p>
    <w:p>
      <w:pPr>
        <w:snapToGrid w:val="0"/>
        <w:spacing w:line="360" w:lineRule="atLeast"/>
        <w:ind w:firstLine="361" w:firstLineChars="171"/>
        <w:rPr>
          <w:rFonts w:ascii="Times New Roman" w:hAnsi="Times New Roman" w:eastAsia="楷体_GB2312"/>
          <w:b/>
          <w:bCs/>
        </w:rPr>
      </w:pPr>
      <w:r>
        <w:rPr>
          <w:rFonts w:hint="eastAsia" w:ascii="Times New Roman" w:hAnsi="Times New Roman" w:eastAsia="楷体_GB2312"/>
          <w:b/>
          <w:bCs/>
        </w:rPr>
        <w:t>特别提示：测算举例收益不等于实际收益，投资须谨慎！示例仅为向投资者介绍收益计算方法之用，并不代表以上的所有情形或某一情形一定会发生，或发生的可能性很大。</w:t>
      </w:r>
    </w:p>
    <w:p>
      <w:pPr>
        <w:snapToGrid w:val="0"/>
        <w:spacing w:line="360" w:lineRule="atLeast"/>
        <w:ind w:firstLine="359" w:firstLineChars="171"/>
        <w:rPr>
          <w:rFonts w:eastAsia="楷体_GB2312"/>
        </w:rPr>
      </w:pPr>
      <w:bookmarkStart w:id="0" w:name="_Toc24442988"/>
      <w:bookmarkStart w:id="1" w:name="_Toc24442816"/>
      <w:bookmarkStart w:id="2" w:name="_Toc37147666"/>
      <w:bookmarkStart w:id="3" w:name="_Toc24442931"/>
    </w:p>
    <w:p>
      <w:pPr>
        <w:pStyle w:val="2"/>
        <w:snapToGrid w:val="0"/>
        <w:spacing w:before="0" w:after="0" w:line="360" w:lineRule="atLeast"/>
        <w:jc w:val="center"/>
        <w:rPr>
          <w:rFonts w:eastAsia="楷体_GB2312"/>
          <w:sz w:val="28"/>
        </w:rPr>
      </w:pPr>
      <w:r>
        <w:rPr>
          <w:rFonts w:hint="eastAsia" w:eastAsia="楷体_GB2312"/>
          <w:sz w:val="28"/>
        </w:rPr>
        <w:t>四、产品的投资范围和投资策略</w:t>
      </w:r>
    </w:p>
    <w:p>
      <w:pPr>
        <w:snapToGrid w:val="0"/>
        <w:spacing w:line="360" w:lineRule="exact"/>
        <w:ind w:firstLine="422" w:firstLineChars="200"/>
        <w:rPr>
          <w:rFonts w:ascii="楷体_GB2312" w:eastAsia="楷体_GB2312"/>
        </w:rPr>
      </w:pPr>
      <w:r>
        <w:rPr>
          <w:rFonts w:hint="eastAsia" w:ascii="楷体_GB2312" w:eastAsia="楷体_GB2312"/>
          <w:b/>
        </w:rPr>
        <w:t>（一）投资范围</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本理财产品为</w:t>
      </w:r>
      <w:r>
        <w:rPr>
          <w:rFonts w:hint="eastAsia" w:ascii="楷体_GB2312" w:hAnsi="Times New Roman" w:eastAsia="楷体_GB2312"/>
          <w:b/>
          <w:bCs/>
        </w:rPr>
        <w:t>固定收益类产品，</w:t>
      </w:r>
      <w:r>
        <w:rPr>
          <w:rFonts w:hint="eastAsia" w:ascii="楷体_GB2312" w:hAnsi="Times New Roman" w:eastAsia="楷体_GB2312"/>
        </w:rPr>
        <w:t>募集的资金主要投资于国债、央行票据、金融债、信用等级在 AA（含）以上的债券</w:t>
      </w:r>
      <w:r>
        <w:rPr>
          <w:rFonts w:hint="eastAsia" w:ascii="楷体_GB2312" w:hAnsi="Times New Roman" w:eastAsia="楷体_GB2312"/>
          <w:lang w:eastAsia="zh-CN"/>
        </w:rPr>
        <w:t>等债券资产</w:t>
      </w:r>
      <w:r>
        <w:rPr>
          <w:rFonts w:hint="eastAsia" w:ascii="楷体_GB2312" w:hAnsi="Times New Roman" w:eastAsia="楷体_GB2312"/>
        </w:rPr>
        <w:t>以及同业存款、同业存单、同业拆借、回购、债券基金、货币基金、同业借款、理财直融工具、债权融资计划、信托计划、股票型基金、混合型基金、</w:t>
      </w:r>
      <w:r>
        <w:rPr>
          <w:rFonts w:hint="eastAsia" w:ascii="楷体_GB2312" w:hAnsi="Times New Roman" w:eastAsia="楷体_GB2312"/>
          <w:lang w:eastAsia="zh-CN"/>
        </w:rPr>
        <w:t>商品型基金、</w:t>
      </w:r>
      <w:r>
        <w:rPr>
          <w:rFonts w:hint="eastAsia" w:ascii="楷体_GB2312" w:hAnsi="Times New Roman" w:eastAsia="楷体_GB2312"/>
        </w:rPr>
        <w:t>金融衍生品（包括但不限于信用风险缓释合约、信用风险缓释凭证、信用违约互换、信用联结票据等信用风险缓释工具，以及利率互换、国债期货等利率衍生工具）等。</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本产品拟配置资产的比例为存款、货币基金等现金类资产</w:t>
      </w:r>
      <w:r>
        <w:rPr>
          <w:rFonts w:hint="eastAsia" w:ascii="楷体_GB2312" w:hAnsi="Times New Roman" w:eastAsia="楷体_GB2312"/>
          <w:b/>
          <w:bCs/>
        </w:rPr>
        <w:t xml:space="preserve"> 0-30%</w:t>
      </w:r>
      <w:r>
        <w:rPr>
          <w:rFonts w:hint="eastAsia" w:ascii="楷体_GB2312" w:hAnsi="Times New Roman" w:eastAsia="楷体_GB2312"/>
        </w:rPr>
        <w:t>，债券资产、同业存单、同业拆借、回购、债券基金</w:t>
      </w:r>
      <w:r>
        <w:rPr>
          <w:rFonts w:ascii="楷体_GB2312" w:hAnsi="Times New Roman" w:eastAsia="楷体_GB2312"/>
          <w:b/>
          <w:bCs/>
        </w:rPr>
        <w:t>3</w:t>
      </w:r>
      <w:r>
        <w:rPr>
          <w:rFonts w:hint="eastAsia" w:ascii="楷体_GB2312" w:hAnsi="Times New Roman" w:eastAsia="楷体_GB2312"/>
          <w:b/>
          <w:bCs/>
        </w:rPr>
        <w:t>0-100%</w:t>
      </w:r>
      <w:r>
        <w:rPr>
          <w:rFonts w:hint="eastAsia" w:ascii="楷体_GB2312" w:hAnsi="Times New Roman" w:eastAsia="楷体_GB2312"/>
        </w:rPr>
        <w:t>，同业借款、理财直融工具、债权融资计划及其他符合监管要求的债权类资产</w:t>
      </w:r>
      <w:r>
        <w:rPr>
          <w:rFonts w:hint="eastAsia" w:ascii="楷体_GB2312" w:hAnsi="Times New Roman" w:eastAsia="楷体_GB2312"/>
          <w:b/>
          <w:bCs/>
        </w:rPr>
        <w:t>0-20%</w:t>
      </w:r>
      <w:r>
        <w:rPr>
          <w:rFonts w:hint="eastAsia" w:ascii="楷体_GB2312" w:hAnsi="Times New Roman" w:eastAsia="楷体_GB2312"/>
        </w:rPr>
        <w:t>，股票型基金、混合型基金等权益类资产</w:t>
      </w:r>
      <w:r>
        <w:rPr>
          <w:rFonts w:hint="eastAsia" w:ascii="楷体_GB2312" w:hAnsi="Times New Roman" w:eastAsia="楷体_GB2312"/>
          <w:b/>
          <w:bCs/>
        </w:rPr>
        <w:t>0-20%</w:t>
      </w:r>
      <w:r>
        <w:rPr>
          <w:rFonts w:hint="eastAsia" w:ascii="楷体_GB2312" w:hAnsi="Times New Roman" w:eastAsia="楷体_GB2312"/>
          <w:b/>
          <w:bCs/>
          <w:lang w:eastAsia="zh-CN"/>
        </w:rPr>
        <w:t>，商品型基金及金融衍生品</w:t>
      </w:r>
      <w:r>
        <w:rPr>
          <w:rFonts w:hint="eastAsia" w:ascii="楷体_GB2312" w:hAnsi="Times New Roman" w:eastAsia="楷体_GB2312"/>
          <w:b/>
          <w:bCs/>
          <w:lang w:val="en-US" w:eastAsia="zh-CN"/>
        </w:rPr>
        <w:t>0-20%</w:t>
      </w:r>
      <w:r>
        <w:rPr>
          <w:rFonts w:hint="eastAsia" w:ascii="楷体_GB2312" w:hAnsi="Times New Roman" w:eastAsia="楷体_GB2312"/>
        </w:rPr>
        <w:t>。</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在本产品存续期内，如因市场发生重大变化导致前述投资比例暂时超出浮动区间的，管理人应及时予以调整。</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本产品总资产不超过本产品净资产的140%。</w:t>
      </w:r>
    </w:p>
    <w:p>
      <w:pPr>
        <w:snapToGrid w:val="0"/>
        <w:spacing w:line="360" w:lineRule="exact"/>
        <w:ind w:firstLine="420" w:firstLineChars="200"/>
        <w:rPr>
          <w:rFonts w:hint="eastAsia" w:ascii="Times New Roman" w:hAnsi="Times New Roman" w:eastAsia="楷体_GB2312"/>
        </w:rPr>
      </w:pPr>
      <w:r>
        <w:rPr>
          <w:rFonts w:hint="eastAsia" w:ascii="Times New Roman" w:hAnsi="Times New Roman" w:eastAsia="楷体_GB2312"/>
        </w:rPr>
        <w:t>本产品配置资产包含股票型基金和混合型基金等涉及股票投资的资产。股票市场价格因受各种因素影响而引起波动，将影响这类资产的净值，进而使本产品资产面临潜在的风险。股票市场投资风险主要包括：(1)国家/地区货币政策、财政政策、产业政策等的变化对证券市场产生一定的影响，导致市场价格水平波动的风险； (2)宏观经济运行周期性波动，对股票市场的收益水平产生影响的风险；(3)上市公司的经营状况受多种因素影响，如市场、技术、竞争、管理、财务等都会导致公司盈利发生变化，从而导致股票价格变动的风险。</w:t>
      </w:r>
    </w:p>
    <w:p>
      <w:pPr>
        <w:snapToGrid w:val="0"/>
        <w:spacing w:line="360" w:lineRule="exact"/>
        <w:ind w:firstLine="420" w:firstLineChars="200"/>
        <w:rPr>
          <w:rFonts w:hint="eastAsia" w:ascii="Times New Roman" w:hAnsi="Times New Roman" w:eastAsia="楷体_GB2312"/>
        </w:rPr>
      </w:pPr>
      <w:r>
        <w:rPr>
          <w:rFonts w:hint="eastAsia" w:ascii="Times New Roman" w:hAnsi="Times New Roman" w:eastAsia="楷体_GB2312"/>
        </w:rPr>
        <w:t>本产品配置资产包含</w:t>
      </w:r>
      <w:r>
        <w:rPr>
          <w:rFonts w:hint="eastAsia" w:ascii="Times New Roman" w:hAnsi="Times New Roman" w:eastAsia="楷体_GB2312"/>
          <w:lang w:eastAsia="zh-CN"/>
        </w:rPr>
        <w:t>商品</w:t>
      </w:r>
      <w:r>
        <w:rPr>
          <w:rFonts w:hint="eastAsia" w:ascii="Times New Roman" w:hAnsi="Times New Roman" w:eastAsia="楷体_GB2312"/>
          <w:lang w:val="en-US" w:eastAsia="zh-CN"/>
        </w:rPr>
        <w:t>型</w:t>
      </w:r>
      <w:r>
        <w:rPr>
          <w:rFonts w:hint="eastAsia" w:ascii="Times New Roman" w:hAnsi="Times New Roman" w:eastAsia="楷体_GB2312"/>
          <w:lang w:eastAsia="zh-CN"/>
        </w:rPr>
        <w:t>基金。</w:t>
      </w:r>
      <w:r>
        <w:rPr>
          <w:rFonts w:hint="eastAsia" w:ascii="Times New Roman" w:hAnsi="Times New Roman" w:eastAsia="楷体_GB2312"/>
        </w:rPr>
        <w:t>商品</w:t>
      </w:r>
      <w:r>
        <w:rPr>
          <w:rFonts w:hint="eastAsia" w:ascii="Times New Roman" w:hAnsi="Times New Roman" w:eastAsia="楷体_GB2312"/>
          <w:lang w:val="en-US" w:eastAsia="zh-CN"/>
        </w:rPr>
        <w:t>型</w:t>
      </w:r>
      <w:r>
        <w:rPr>
          <w:rFonts w:hint="eastAsia" w:ascii="Times New Roman" w:hAnsi="Times New Roman" w:eastAsia="楷体_GB2312"/>
        </w:rPr>
        <w:t>资产的价格受多重因素综合影响，具有高波动性的特点。主要影响因素包括：全球宏观经济的景气度与通胀预期，经济增速和货币政策，国际地缘政治局势与贸易政策的变化，汇率波动以及自然因素，如极端天气、自然灾害或疫情</w:t>
      </w:r>
      <w:r>
        <w:rPr>
          <w:rFonts w:hint="eastAsia" w:ascii="Times New Roman" w:hAnsi="Times New Roman" w:eastAsia="楷体_GB2312"/>
          <w:lang w:eastAsia="zh-CN"/>
        </w:rPr>
        <w:t>。</w:t>
      </w:r>
      <w:r>
        <w:rPr>
          <w:rFonts w:hint="eastAsia" w:ascii="Times New Roman" w:hAnsi="Times New Roman" w:eastAsia="楷体_GB2312"/>
        </w:rPr>
        <w:t>此外，市场投机行为、投资者情绪及技术性交易也会加剧价格的短期剧烈震荡。上述因素可能导致商品价格波动，进而直接影响本产品净值。</w:t>
      </w:r>
    </w:p>
    <w:p>
      <w:pPr>
        <w:snapToGrid w:val="0"/>
        <w:spacing w:line="360" w:lineRule="exact"/>
        <w:ind w:firstLine="420" w:firstLineChars="200"/>
        <w:rPr>
          <w:rFonts w:ascii="楷体_GB2312" w:eastAsia="楷体_GB2312"/>
        </w:rPr>
      </w:pPr>
      <w:r>
        <w:rPr>
          <w:rFonts w:hint="eastAsia" w:ascii="Times New Roman" w:hAnsi="Times New Roman" w:eastAsia="楷体_GB2312"/>
        </w:rPr>
        <w:t>本产品配置资产包含</w:t>
      </w:r>
      <w:r>
        <w:rPr>
          <w:rFonts w:hint="eastAsia" w:ascii="Times New Roman" w:hAnsi="Times New Roman" w:eastAsia="楷体_GB2312"/>
          <w:b/>
          <w:bCs/>
        </w:rPr>
        <w:t>金融衍生品，衍生品是根据相关法规和政策所设计，如国家宏观政策以及市场相关法规政策、监管政策和规定等发生变化，可能影响衍生品的交易受理、投资、偿还等的正常运行，甚至影响衍生品的收益、给投资者带来损失；衍生品独立于相关基础资产，购买衍生品并不等于购买相关资产或直接投资于相关资产；买卖衍生品可能面临亏损风险，衍生品多采用保证金交易方式，潜在损失可能成倍放大，损失的金额可能超过全部保证金且无上限；衍生品交易依赖于电子交易系统，可能遭遇不可抗力事件，</w:t>
      </w:r>
      <w:r>
        <w:rPr>
          <w:rFonts w:ascii="Times New Roman" w:hAnsi="Times New Roman" w:eastAsia="楷体_GB2312"/>
          <w:b/>
          <w:bCs/>
          <w:szCs w:val="21"/>
        </w:rPr>
        <w:t>由于自然灾害、政府管制、现行法律或法规变更、通讯延迟或中断以及其他特殊情况导致系统及网络无法正常运行</w:t>
      </w:r>
      <w:r>
        <w:rPr>
          <w:rFonts w:hint="eastAsia" w:ascii="Times New Roman" w:hAnsi="Times New Roman" w:eastAsia="楷体_GB2312"/>
          <w:b/>
          <w:bCs/>
        </w:rPr>
        <w:t>，产生损失</w:t>
      </w:r>
      <w:r>
        <w:rPr>
          <w:rFonts w:hint="eastAsia" w:ascii="Times New Roman" w:hAnsi="Times New Roman" w:eastAsia="楷体_GB2312"/>
        </w:rPr>
        <w:t>。</w:t>
      </w:r>
    </w:p>
    <w:p>
      <w:pPr>
        <w:snapToGrid w:val="0"/>
        <w:spacing w:line="360" w:lineRule="exact"/>
        <w:ind w:firstLine="422" w:firstLineChars="200"/>
        <w:rPr>
          <w:rFonts w:ascii="楷体_GB2312" w:eastAsia="楷体_GB2312"/>
        </w:rPr>
      </w:pPr>
      <w:r>
        <w:rPr>
          <w:rFonts w:hint="eastAsia" w:ascii="楷体_GB2312" w:eastAsia="楷体_GB2312"/>
          <w:b/>
        </w:rPr>
        <w:t>（二）投资策略</w:t>
      </w:r>
    </w:p>
    <w:p>
      <w:pPr>
        <w:snapToGrid w:val="0"/>
        <w:spacing w:line="360" w:lineRule="exact"/>
        <w:ind w:firstLine="420" w:firstLineChars="200"/>
        <w:rPr>
          <w:rFonts w:ascii="楷体_GB2312" w:eastAsia="楷体_GB2312"/>
        </w:rPr>
      </w:pPr>
      <w:r>
        <w:rPr>
          <w:rFonts w:hint="eastAsia" w:ascii="楷体_GB2312" w:eastAsia="楷体_GB2312"/>
        </w:rPr>
        <w:t>本产品采取稳健的投资管理策略，在严格的风险控制和确保产品资产流动性的前提下，在系统性分析研究的基础上，通过对固定收益投资工具类属配置和目标久期的适时调整，适时合理地利用现有的投资工具，配合套利策略的积极运用，追求低风险下的稳健收益。</w:t>
      </w:r>
    </w:p>
    <w:p>
      <w:pPr>
        <w:snapToGrid w:val="0"/>
        <w:spacing w:line="360" w:lineRule="exact"/>
        <w:ind w:firstLine="420" w:firstLineChars="200"/>
        <w:rPr>
          <w:rFonts w:ascii="楷体_GB2312" w:eastAsia="楷体_GB2312"/>
        </w:rPr>
      </w:pPr>
    </w:p>
    <w:p>
      <w:pPr>
        <w:pStyle w:val="2"/>
        <w:snapToGrid w:val="0"/>
        <w:spacing w:before="0" w:after="0" w:line="360" w:lineRule="atLeast"/>
        <w:jc w:val="center"/>
        <w:rPr>
          <w:rFonts w:eastAsia="楷体_GB2312"/>
          <w:sz w:val="28"/>
          <w:szCs w:val="28"/>
        </w:rPr>
      </w:pPr>
      <w:r>
        <w:rPr>
          <w:rFonts w:hint="eastAsia" w:eastAsia="楷体_GB2312"/>
          <w:sz w:val="28"/>
          <w:szCs w:val="28"/>
        </w:rPr>
        <w:t>五、</w:t>
      </w:r>
      <w:r>
        <w:rPr>
          <w:rFonts w:eastAsia="楷体_GB2312"/>
          <w:sz w:val="28"/>
          <w:szCs w:val="28"/>
        </w:rPr>
        <w:t>产品的</w:t>
      </w:r>
      <w:r>
        <w:rPr>
          <w:rFonts w:hint="eastAsia" w:eastAsia="楷体_GB2312"/>
          <w:sz w:val="28"/>
          <w:szCs w:val="28"/>
        </w:rPr>
        <w:t>提前</w:t>
      </w:r>
      <w:r>
        <w:rPr>
          <w:rFonts w:eastAsia="楷体_GB2312"/>
          <w:sz w:val="28"/>
          <w:szCs w:val="28"/>
        </w:rPr>
        <w:t>终止</w:t>
      </w:r>
    </w:p>
    <w:p>
      <w:pPr>
        <w:spacing w:beforeLines="0" w:afterLines="0" w:line="360" w:lineRule="exact"/>
        <w:ind w:firstLine="422" w:firstLineChars="200"/>
        <w:rPr>
          <w:rFonts w:ascii="楷体_GB2312" w:eastAsia="楷体_GB2312"/>
          <w:b/>
          <w:bCs/>
          <w:szCs w:val="21"/>
        </w:rPr>
      </w:pPr>
      <w:r>
        <w:rPr>
          <w:rFonts w:hint="eastAsia" w:ascii="楷体_GB2312" w:eastAsia="楷体_GB2312"/>
          <w:b/>
          <w:bCs/>
          <w:szCs w:val="21"/>
        </w:rPr>
        <w:t>（一）出现以下任一情况，常熟农商银行有权提前终止本理财产品：</w:t>
      </w:r>
    </w:p>
    <w:p>
      <w:pPr>
        <w:spacing w:beforeLines="0" w:afterLines="0" w:line="360" w:lineRule="exact"/>
        <w:ind w:firstLine="422" w:firstLineChars="200"/>
        <w:rPr>
          <w:rFonts w:ascii="楷体_GB2312" w:eastAsia="楷体_GB2312"/>
          <w:b/>
          <w:bCs/>
          <w:szCs w:val="21"/>
        </w:rPr>
      </w:pPr>
      <w:r>
        <w:rPr>
          <w:rFonts w:ascii="楷体_GB2312" w:eastAsia="楷体_GB2312"/>
          <w:b/>
          <w:bCs/>
          <w:szCs w:val="21"/>
        </w:rPr>
        <w:t>1</w:t>
      </w:r>
      <w:r>
        <w:rPr>
          <w:rFonts w:hint="eastAsia" w:ascii="楷体_GB2312" w:eastAsia="楷体_GB2312"/>
          <w:b/>
          <w:bCs/>
          <w:szCs w:val="21"/>
        </w:rPr>
        <w:t>、若本理财产品当日份额低于</w:t>
      </w:r>
      <w:r>
        <w:rPr>
          <w:rFonts w:ascii="楷体_GB2312" w:eastAsia="楷体_GB2312"/>
          <w:b/>
          <w:bCs/>
          <w:szCs w:val="21"/>
          <w:u w:val="single"/>
        </w:rPr>
        <w:t>500</w:t>
      </w:r>
      <w:r>
        <w:rPr>
          <w:rFonts w:hint="eastAsia" w:ascii="楷体_GB2312" w:eastAsia="楷体_GB2312"/>
          <w:b/>
          <w:bCs/>
          <w:szCs w:val="21"/>
          <w:u w:val="single"/>
        </w:rPr>
        <w:t>万</w:t>
      </w:r>
      <w:r>
        <w:rPr>
          <w:rFonts w:hint="eastAsia" w:ascii="楷体_GB2312" w:eastAsia="楷体_GB2312"/>
          <w:b/>
          <w:bCs/>
          <w:szCs w:val="21"/>
        </w:rPr>
        <w:t>份时；</w:t>
      </w:r>
    </w:p>
    <w:p>
      <w:pPr>
        <w:spacing w:beforeLines="0" w:afterLines="0" w:line="360" w:lineRule="exact"/>
        <w:ind w:firstLine="422" w:firstLineChars="200"/>
        <w:rPr>
          <w:rFonts w:ascii="楷体_GB2312" w:eastAsia="楷体_GB2312"/>
          <w:b/>
          <w:bCs/>
          <w:szCs w:val="21"/>
        </w:rPr>
      </w:pPr>
      <w:r>
        <w:rPr>
          <w:rFonts w:ascii="楷体_GB2312" w:eastAsia="楷体_GB2312"/>
          <w:b/>
          <w:bCs/>
          <w:szCs w:val="21"/>
        </w:rPr>
        <w:t>2</w:t>
      </w:r>
      <w:r>
        <w:rPr>
          <w:rFonts w:hint="eastAsia" w:ascii="楷体_GB2312" w:eastAsia="楷体_GB2312"/>
          <w:b/>
          <w:bCs/>
          <w:szCs w:val="21"/>
        </w:rPr>
        <w:t>、监管机构要求或法律法规规定的其它情形导致本产品终止；</w:t>
      </w:r>
    </w:p>
    <w:p>
      <w:pPr>
        <w:spacing w:beforeLines="0" w:afterLines="0" w:line="360" w:lineRule="exact"/>
        <w:ind w:firstLine="422" w:firstLineChars="200"/>
        <w:rPr>
          <w:rFonts w:ascii="楷体_GB2312" w:eastAsia="楷体_GB2312"/>
          <w:b/>
          <w:bCs/>
          <w:szCs w:val="21"/>
        </w:rPr>
      </w:pPr>
      <w:r>
        <w:rPr>
          <w:rFonts w:ascii="楷体_GB2312" w:eastAsia="楷体_GB2312"/>
          <w:b/>
          <w:bCs/>
          <w:szCs w:val="21"/>
        </w:rPr>
        <w:t>3</w:t>
      </w:r>
      <w:r>
        <w:rPr>
          <w:rFonts w:hint="eastAsia" w:ascii="楷体_GB2312" w:eastAsia="楷体_GB2312"/>
          <w:b/>
          <w:bCs/>
          <w:szCs w:val="21"/>
        </w:rPr>
        <w:t>、管理人根据市场情况认为需要提前终止本产品。</w:t>
      </w:r>
    </w:p>
    <w:p>
      <w:pPr>
        <w:autoSpaceDE w:val="0"/>
        <w:autoSpaceDN w:val="0"/>
        <w:adjustRightInd w:val="0"/>
        <w:spacing w:beforeLines="0" w:afterLines="0" w:line="360" w:lineRule="atLeast"/>
        <w:ind w:firstLine="420" w:firstLineChars="200"/>
        <w:jc w:val="left"/>
      </w:pPr>
      <w:r>
        <w:rPr>
          <w:rFonts w:hint="eastAsia" w:eastAsia="楷体_GB2312"/>
          <w:bCs/>
        </w:rPr>
        <w:t>（二）若常熟农商银行宣布提前终止本理财产品，将提</w:t>
      </w:r>
      <w:r>
        <w:rPr>
          <w:rFonts w:hint="eastAsia" w:eastAsia="楷体_GB2312"/>
          <w:bCs/>
          <w:lang w:eastAsia="zh-CN"/>
        </w:rPr>
        <w:t>前</w:t>
      </w:r>
      <w:r>
        <w:rPr>
          <w:rFonts w:hint="eastAsia" w:eastAsia="楷体_GB2312"/>
          <w:bCs/>
        </w:rPr>
        <w:t>两个工作日通过常熟农商银行官方网站进行公告。本理财产品提前终止后，常熟农商银行将于对应的到账日将投资者应得理财本金及收益（如有）划至投资者账户。（提前终止日至资金到账日，资金不计收益或利息）</w:t>
      </w:r>
      <w:bookmarkEnd w:id="0"/>
      <w:bookmarkEnd w:id="1"/>
      <w:bookmarkEnd w:id="2"/>
      <w:bookmarkEnd w:id="3"/>
      <w:bookmarkStart w:id="4" w:name="_Toc37147671"/>
      <w:bookmarkStart w:id="5" w:name="_Toc24442995"/>
      <w:bookmarkStart w:id="6" w:name="_Toc24442823"/>
      <w:bookmarkStart w:id="7" w:name="_Toc24442938"/>
    </w:p>
    <w:p>
      <w:pPr>
        <w:pStyle w:val="2"/>
        <w:snapToGrid w:val="0"/>
        <w:spacing w:before="0" w:after="0" w:line="360" w:lineRule="atLeast"/>
        <w:jc w:val="center"/>
        <w:rPr>
          <w:rFonts w:eastAsia="楷体_GB2312"/>
          <w:sz w:val="28"/>
        </w:rPr>
      </w:pPr>
    </w:p>
    <w:p>
      <w:pPr>
        <w:pStyle w:val="2"/>
        <w:spacing w:before="0" w:after="0" w:line="360" w:lineRule="atLeast"/>
        <w:jc w:val="center"/>
        <w:rPr>
          <w:rFonts w:eastAsia="楷体_GB2312"/>
          <w:sz w:val="28"/>
        </w:rPr>
      </w:pPr>
      <w:r>
        <w:rPr>
          <w:rFonts w:hint="eastAsia" w:eastAsia="楷体_GB2312"/>
          <w:sz w:val="28"/>
        </w:rPr>
        <w:t>六、产品估值</w:t>
      </w:r>
      <w:bookmarkEnd w:id="4"/>
      <w:bookmarkEnd w:id="5"/>
      <w:bookmarkEnd w:id="6"/>
      <w:bookmarkEnd w:id="7"/>
    </w:p>
    <w:p>
      <w:pPr>
        <w:snapToGrid w:val="0"/>
        <w:spacing w:line="360" w:lineRule="exact"/>
        <w:ind w:firstLine="422" w:firstLineChars="200"/>
        <w:rPr>
          <w:rFonts w:ascii="楷体_GB2312" w:eastAsia="楷体_GB2312"/>
          <w:b/>
        </w:rPr>
      </w:pPr>
      <w:r>
        <w:rPr>
          <w:rFonts w:hint="eastAsia" w:ascii="楷体_GB2312" w:eastAsia="楷体_GB2312"/>
          <w:b/>
        </w:rPr>
        <w:t>（一）产品估值</w:t>
      </w:r>
    </w:p>
    <w:p>
      <w:pPr>
        <w:snapToGrid w:val="0"/>
        <w:spacing w:line="360" w:lineRule="exact"/>
        <w:ind w:firstLine="420" w:firstLineChars="200"/>
        <w:rPr>
          <w:rFonts w:ascii="楷体_GB2312" w:eastAsia="楷体_GB2312"/>
        </w:rPr>
      </w:pPr>
      <w:r>
        <w:rPr>
          <w:rFonts w:hint="eastAsia" w:ascii="楷体_GB2312" w:eastAsia="楷体_GB2312"/>
        </w:rPr>
        <w:t>产品资产的估值目的是客观、准确地反映产品资产的价值，确定产品资产净值，并为产品份额的申购与赎回提供计价依据。</w:t>
      </w:r>
    </w:p>
    <w:p>
      <w:pPr>
        <w:snapToGrid w:val="0"/>
        <w:spacing w:line="360" w:lineRule="exact"/>
        <w:ind w:firstLine="422" w:firstLineChars="200"/>
        <w:rPr>
          <w:rFonts w:ascii="楷体_GB2312" w:eastAsia="楷体_GB2312"/>
          <w:b/>
        </w:rPr>
      </w:pPr>
      <w:r>
        <w:rPr>
          <w:rFonts w:hint="eastAsia" w:ascii="楷体_GB2312" w:eastAsia="楷体_GB2312"/>
          <w:b/>
        </w:rPr>
        <w:t>（二）估值方法</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理财产品所投资各类资产原则上按照公允价值估值，具体估值方法如下：</w:t>
      </w:r>
    </w:p>
    <w:p>
      <w:pPr>
        <w:snapToGrid w:val="0"/>
        <w:spacing w:line="360" w:lineRule="exact"/>
        <w:ind w:firstLine="420" w:firstLineChars="200"/>
        <w:rPr>
          <w:rFonts w:ascii="楷体_GB2312" w:hAnsi="Times New Roman" w:eastAsia="楷体_GB2312"/>
        </w:rPr>
      </w:pPr>
      <w:r>
        <w:rPr>
          <w:rFonts w:ascii="楷体_GB2312" w:hAnsi="Times New Roman" w:eastAsia="楷体_GB2312"/>
        </w:rPr>
        <w:t>1</w:t>
      </w:r>
      <w:r>
        <w:rPr>
          <w:rFonts w:hint="eastAsia" w:ascii="楷体_GB2312" w:hAnsi="Times New Roman" w:eastAsia="楷体_GB2312"/>
        </w:rPr>
        <w:t>、货币市场工具类的估值</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1</w:t>
      </w:r>
      <w:r>
        <w:rPr>
          <w:rFonts w:hint="eastAsia" w:ascii="楷体_GB2312" w:hAnsi="Times New Roman" w:eastAsia="楷体_GB2312"/>
        </w:rPr>
        <w:t>）银行存款以本金列示，逐日计提利息；</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2</w:t>
      </w:r>
      <w:r>
        <w:rPr>
          <w:rFonts w:hint="eastAsia" w:ascii="楷体_GB2312" w:hAnsi="Times New Roman" w:eastAsia="楷体_GB2312"/>
        </w:rPr>
        <w:t>）货币基金以当日基金净值估值。</w:t>
      </w:r>
    </w:p>
    <w:p>
      <w:pPr>
        <w:snapToGrid w:val="0"/>
        <w:spacing w:line="360" w:lineRule="exact"/>
        <w:ind w:firstLine="420" w:firstLineChars="200"/>
        <w:rPr>
          <w:rFonts w:ascii="楷体_GB2312" w:hAnsi="Times New Roman" w:eastAsia="楷体_GB2312"/>
        </w:rPr>
      </w:pPr>
      <w:r>
        <w:rPr>
          <w:rFonts w:ascii="楷体_GB2312" w:hAnsi="Times New Roman" w:eastAsia="楷体_GB2312"/>
        </w:rPr>
        <w:t>2</w:t>
      </w:r>
      <w:r>
        <w:rPr>
          <w:rFonts w:hint="eastAsia" w:ascii="楷体_GB2312" w:hAnsi="Times New Roman" w:eastAsia="楷体_GB2312"/>
        </w:rPr>
        <w:t>、债券类的估值</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1</w:t>
      </w:r>
      <w:r>
        <w:rPr>
          <w:rFonts w:hint="eastAsia" w:ascii="楷体_GB2312" w:hAnsi="Times New Roman" w:eastAsia="楷体_GB2312"/>
        </w:rPr>
        <w:t>）以持有到期为目的持有的债券按摊余成本法估值；</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2</w:t>
      </w:r>
      <w:r>
        <w:rPr>
          <w:rFonts w:hint="eastAsia" w:ascii="楷体_GB2312" w:hAnsi="Times New Roman" w:eastAsia="楷体_GB2312"/>
        </w:rPr>
        <w:t>）以交易为目的持有的债券按市价法估值。</w:t>
      </w:r>
    </w:p>
    <w:p>
      <w:pPr>
        <w:snapToGrid w:val="0"/>
        <w:spacing w:line="360" w:lineRule="exact"/>
        <w:ind w:firstLine="420" w:firstLineChars="200"/>
        <w:rPr>
          <w:rFonts w:ascii="楷体_GB2312" w:hAnsi="Times New Roman" w:eastAsia="楷体_GB2312"/>
        </w:rPr>
      </w:pPr>
      <w:r>
        <w:rPr>
          <w:rFonts w:ascii="楷体_GB2312" w:hAnsi="Times New Roman" w:eastAsia="楷体_GB2312"/>
        </w:rPr>
        <w:t>3</w:t>
      </w:r>
      <w:r>
        <w:rPr>
          <w:rFonts w:hint="eastAsia" w:ascii="楷体_GB2312" w:hAnsi="Times New Roman" w:eastAsia="楷体_GB2312"/>
        </w:rPr>
        <w:t>、债权类项目的估值</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1</w:t>
      </w:r>
      <w:r>
        <w:rPr>
          <w:rFonts w:hint="eastAsia" w:ascii="楷体_GB2312" w:hAnsi="Times New Roman" w:eastAsia="楷体_GB2312"/>
        </w:rPr>
        <w:t>）非标债权类项目以摊余成本法估值；</w:t>
      </w:r>
    </w:p>
    <w:p>
      <w:pPr>
        <w:snapToGrid w:val="0"/>
        <w:spacing w:line="360" w:lineRule="exact"/>
        <w:ind w:firstLine="420" w:firstLineChars="200"/>
        <w:rPr>
          <w:rFonts w:ascii="楷体_GB2312" w:hAnsi="Times New Roman" w:eastAsia="楷体_GB2312"/>
        </w:rPr>
      </w:pPr>
      <w:r>
        <w:rPr>
          <w:rFonts w:hint="eastAsia" w:ascii="楷体_GB2312" w:hAnsi="Times New Roman" w:eastAsia="楷体_GB2312"/>
        </w:rPr>
        <w:t>（</w:t>
      </w:r>
      <w:r>
        <w:rPr>
          <w:rFonts w:ascii="楷体_GB2312" w:hAnsi="Times New Roman" w:eastAsia="楷体_GB2312"/>
        </w:rPr>
        <w:t>2</w:t>
      </w:r>
      <w:r>
        <w:rPr>
          <w:rFonts w:hint="eastAsia" w:ascii="楷体_GB2312" w:hAnsi="Times New Roman" w:eastAsia="楷体_GB2312"/>
        </w:rPr>
        <w:t>）标准化债权项目中，以持有到期为目的持有的债权按摊余成本法估值，以交易为目的持有的债权按市价法估值。</w:t>
      </w:r>
    </w:p>
    <w:p>
      <w:pPr>
        <w:snapToGrid w:val="0"/>
        <w:spacing w:line="360" w:lineRule="exact"/>
        <w:ind w:firstLine="420" w:firstLineChars="200"/>
        <w:rPr>
          <w:rFonts w:ascii="楷体_GB2312" w:hAnsi="Times New Roman" w:eastAsia="楷体_GB2312"/>
        </w:rPr>
      </w:pPr>
      <w:r>
        <w:rPr>
          <w:rFonts w:ascii="楷体_GB2312" w:hAnsi="Times New Roman" w:eastAsia="楷体_GB2312"/>
        </w:rPr>
        <w:t>4</w:t>
      </w:r>
      <w:r>
        <w:rPr>
          <w:rFonts w:hint="eastAsia" w:ascii="楷体_GB2312" w:hAnsi="Times New Roman" w:eastAsia="楷体_GB2312"/>
        </w:rPr>
        <w:t>、其他资产类估值：采用监管及市场认可的估值方法计算公允价值。</w:t>
      </w:r>
    </w:p>
    <w:p>
      <w:pPr>
        <w:snapToGrid w:val="0"/>
        <w:spacing w:line="360" w:lineRule="exact"/>
        <w:ind w:firstLine="420" w:firstLineChars="200"/>
        <w:rPr>
          <w:rFonts w:ascii="楷体_GB2312" w:hAnsi="Times New Roman" w:eastAsia="楷体_GB2312"/>
        </w:rPr>
      </w:pPr>
      <w:r>
        <w:rPr>
          <w:rFonts w:ascii="楷体_GB2312" w:hAnsi="Times New Roman" w:eastAsia="楷体_GB2312"/>
        </w:rPr>
        <w:t>5</w:t>
      </w:r>
      <w:r>
        <w:rPr>
          <w:rFonts w:hint="eastAsia" w:ascii="楷体_GB2312" w:hAnsi="Times New Roman" w:eastAsia="楷体_GB2312"/>
        </w:rPr>
        <w:t>、国家有最新规定的，按其规定进行估值。</w:t>
      </w:r>
    </w:p>
    <w:p>
      <w:pPr>
        <w:snapToGrid w:val="0"/>
        <w:spacing w:line="360" w:lineRule="exact"/>
        <w:ind w:firstLine="420" w:firstLineChars="200"/>
        <w:rPr>
          <w:rFonts w:ascii="楷体_GB2312" w:eastAsia="楷体_GB2312"/>
        </w:rPr>
      </w:pPr>
      <w:r>
        <w:rPr>
          <w:rFonts w:ascii="楷体_GB2312" w:hAnsi="Times New Roman" w:eastAsia="楷体_GB2312"/>
        </w:rPr>
        <w:t>6</w:t>
      </w:r>
      <w:r>
        <w:rPr>
          <w:rFonts w:hint="eastAsia" w:ascii="楷体_GB2312" w:hAnsi="Times New Roman" w:eastAsia="楷体_GB2312"/>
        </w:rPr>
        <w:t>、在任何情况下，产品管理人与托管人所共同认可的估值方式均视为客观、公允的估值方法。该产品估值均以产品公布的估值结果为准。</w:t>
      </w:r>
    </w:p>
    <w:p>
      <w:pPr>
        <w:snapToGrid w:val="0"/>
        <w:spacing w:line="360" w:lineRule="exact"/>
        <w:ind w:firstLine="422" w:firstLineChars="200"/>
        <w:rPr>
          <w:rFonts w:ascii="楷体_GB2312" w:eastAsia="楷体_GB2312"/>
          <w:b/>
        </w:rPr>
      </w:pPr>
      <w:r>
        <w:rPr>
          <w:rFonts w:hint="eastAsia" w:ascii="楷体_GB2312" w:eastAsia="楷体_GB2312"/>
          <w:b/>
        </w:rPr>
        <w:t>（三）暂停估值</w:t>
      </w:r>
    </w:p>
    <w:p>
      <w:pPr>
        <w:snapToGrid w:val="0"/>
        <w:spacing w:line="360" w:lineRule="exact"/>
        <w:ind w:firstLine="420" w:firstLineChars="200"/>
        <w:rPr>
          <w:rFonts w:ascii="楷体_GB2312" w:eastAsia="楷体_GB2312"/>
        </w:rPr>
      </w:pPr>
      <w:r>
        <w:rPr>
          <w:rFonts w:hint="eastAsia" w:ascii="楷体_GB2312" w:eastAsia="楷体_GB2312"/>
        </w:rPr>
        <w:t>当产品资产的估值因不可抗力或其它情形致使产品管理人（或其授权人）、托管人无法准确评估产品资产价值时或中国银保监会认定的其它情形，产品管理人（或其授权人）可暂停产品的估值直至另行通知。</w:t>
      </w:r>
    </w:p>
    <w:p>
      <w:pPr>
        <w:snapToGrid w:val="0"/>
        <w:spacing w:line="360" w:lineRule="exact"/>
        <w:ind w:firstLine="420" w:firstLineChars="200"/>
        <w:rPr>
          <w:rFonts w:ascii="楷体_GB2312" w:eastAsia="楷体_GB2312"/>
        </w:rPr>
      </w:pPr>
    </w:p>
    <w:p>
      <w:pPr>
        <w:pStyle w:val="2"/>
        <w:spacing w:before="0" w:after="0" w:line="360" w:lineRule="atLeast"/>
        <w:jc w:val="center"/>
        <w:rPr>
          <w:rFonts w:eastAsia="楷体_GB2312"/>
          <w:sz w:val="28"/>
          <w:szCs w:val="28"/>
        </w:rPr>
      </w:pPr>
      <w:r>
        <w:rPr>
          <w:rFonts w:hint="eastAsia" w:eastAsia="楷体_GB2312"/>
          <w:sz w:val="28"/>
          <w:szCs w:val="28"/>
        </w:rPr>
        <w:t>七、产品托管</w:t>
      </w:r>
    </w:p>
    <w:p>
      <w:pPr>
        <w:snapToGrid w:val="0"/>
        <w:spacing w:line="360" w:lineRule="exact"/>
        <w:ind w:firstLine="420" w:firstLineChars="200"/>
      </w:pPr>
      <w:r>
        <w:rPr>
          <w:rFonts w:ascii="楷体_GB2312" w:eastAsia="楷体_GB2312"/>
          <w:szCs w:val="21"/>
        </w:rPr>
        <w:t>1</w:t>
      </w:r>
      <w:r>
        <w:rPr>
          <w:rFonts w:hint="eastAsia" w:ascii="楷体_GB2312" w:eastAsia="楷体_GB2312"/>
          <w:szCs w:val="21"/>
        </w:rPr>
        <w:t>、托管人为具有证券投资基金托管业务资格的金融机构。产品管理人与托管人签署书面托管协议约定托管具体事宜。</w:t>
      </w:r>
    </w:p>
    <w:p>
      <w:pPr>
        <w:snapToGrid w:val="0"/>
        <w:spacing w:line="360" w:lineRule="exact"/>
        <w:ind w:firstLine="420" w:firstLineChars="200"/>
        <w:rPr>
          <w:rFonts w:ascii="楷体_GB2312" w:eastAsia="楷体_GB2312"/>
          <w:szCs w:val="21"/>
        </w:rPr>
      </w:pPr>
      <w:r>
        <w:rPr>
          <w:rFonts w:ascii="楷体_GB2312" w:eastAsia="楷体_GB2312"/>
          <w:szCs w:val="21"/>
        </w:rPr>
        <w:t>2</w:t>
      </w:r>
      <w:r>
        <w:rPr>
          <w:rFonts w:hint="eastAsia" w:ascii="楷体_GB2312" w:eastAsia="楷体_GB2312"/>
          <w:szCs w:val="21"/>
        </w:rPr>
        <w:t>、托管人职责</w:t>
      </w:r>
    </w:p>
    <w:p>
      <w:pPr>
        <w:snapToGrid w:val="0"/>
        <w:spacing w:line="360" w:lineRule="exact"/>
        <w:ind w:firstLine="420" w:firstLineChars="200"/>
        <w:rPr>
          <w:rFonts w:ascii="楷体_GB2312" w:eastAsia="楷体_GB2312"/>
          <w:szCs w:val="21"/>
        </w:rPr>
      </w:pPr>
      <w:r>
        <w:rPr>
          <w:rFonts w:ascii="楷体_GB2312" w:eastAsia="楷体_GB2312"/>
          <w:szCs w:val="21"/>
        </w:rPr>
        <w:t>(1)</w:t>
      </w:r>
      <w:r>
        <w:rPr>
          <w:rFonts w:hint="eastAsia" w:ascii="楷体_GB2312" w:eastAsia="楷体_GB2312"/>
          <w:szCs w:val="21"/>
        </w:rPr>
        <w:t>安全保管理财产品财产；</w:t>
      </w:r>
    </w:p>
    <w:p>
      <w:pPr>
        <w:snapToGrid w:val="0"/>
        <w:spacing w:line="360" w:lineRule="exact"/>
        <w:ind w:firstLine="420" w:firstLineChars="200"/>
        <w:rPr>
          <w:rFonts w:ascii="楷体_GB2312" w:eastAsia="楷体_GB2312"/>
          <w:szCs w:val="21"/>
        </w:rPr>
      </w:pPr>
      <w:r>
        <w:rPr>
          <w:rFonts w:ascii="楷体_GB2312" w:eastAsia="楷体_GB2312"/>
          <w:szCs w:val="21"/>
        </w:rPr>
        <w:t>(2)</w:t>
      </w:r>
      <w:r>
        <w:rPr>
          <w:rFonts w:hint="eastAsia" w:ascii="楷体_GB2312" w:eastAsia="楷体_GB2312"/>
          <w:szCs w:val="21"/>
        </w:rPr>
        <w:t>按照托管协议约定和产品管理人的投资指令，及时办理清算、交割事宜；</w:t>
      </w:r>
    </w:p>
    <w:p>
      <w:pPr>
        <w:snapToGrid w:val="0"/>
        <w:spacing w:line="360" w:lineRule="exact"/>
        <w:ind w:firstLine="420" w:firstLineChars="200"/>
        <w:rPr>
          <w:rFonts w:ascii="楷体_GB2312" w:eastAsia="楷体_GB2312"/>
          <w:szCs w:val="21"/>
        </w:rPr>
      </w:pPr>
      <w:r>
        <w:rPr>
          <w:rFonts w:ascii="楷体_GB2312" w:eastAsia="楷体_GB2312"/>
          <w:szCs w:val="21"/>
        </w:rPr>
        <w:t>(3)</w:t>
      </w:r>
      <w:r>
        <w:rPr>
          <w:rFonts w:hint="eastAsia" w:ascii="楷体_GB2312" w:eastAsia="楷体_GB2312"/>
          <w:szCs w:val="21"/>
        </w:rPr>
        <w:t>建立与产品管理人的对账机制，复核、审查理财产品资金头寸、资产账目、认购和赎回价格等数据，及时核查认购、赎回以及投资资金的支付和到账情况；</w:t>
      </w:r>
    </w:p>
    <w:p>
      <w:pPr>
        <w:snapToGrid w:val="0"/>
        <w:spacing w:line="360" w:lineRule="exact"/>
        <w:ind w:firstLine="420" w:firstLineChars="200"/>
        <w:rPr>
          <w:rFonts w:ascii="楷体_GB2312" w:eastAsia="楷体_GB2312"/>
          <w:szCs w:val="21"/>
        </w:rPr>
      </w:pPr>
      <w:r>
        <w:rPr>
          <w:rFonts w:ascii="楷体_GB2312" w:eastAsia="楷体_GB2312"/>
          <w:szCs w:val="21"/>
        </w:rPr>
        <w:t>(4)</w:t>
      </w:r>
      <w:r>
        <w:rPr>
          <w:rFonts w:hint="eastAsia" w:ascii="楷体_GB2312" w:eastAsia="楷体_GB2312"/>
          <w:szCs w:val="21"/>
        </w:rPr>
        <w:t>监督理财产品投资运作，发现理财产品违反法律、行政法规、规章规定或合同约定进行投资的，应当拒绝执行，及时通知产品管理人并报告银行业监督管理机构；</w:t>
      </w:r>
    </w:p>
    <w:p>
      <w:pPr>
        <w:snapToGrid w:val="0"/>
        <w:spacing w:line="360" w:lineRule="exact"/>
        <w:ind w:firstLine="420" w:firstLineChars="200"/>
        <w:rPr>
          <w:rFonts w:ascii="楷体_GB2312" w:eastAsia="楷体_GB2312"/>
          <w:szCs w:val="21"/>
        </w:rPr>
      </w:pPr>
      <w:r>
        <w:rPr>
          <w:rFonts w:ascii="楷体_GB2312" w:eastAsia="楷体_GB2312"/>
          <w:szCs w:val="21"/>
        </w:rPr>
        <w:t>(5)</w:t>
      </w:r>
      <w:r>
        <w:rPr>
          <w:rFonts w:hint="eastAsia" w:ascii="楷体_GB2312" w:eastAsia="楷体_GB2312"/>
          <w:szCs w:val="21"/>
        </w:rPr>
        <w:t>国务院银行业监督管理机构规定的其他职责。</w:t>
      </w:r>
    </w:p>
    <w:p>
      <w:pPr>
        <w:snapToGrid w:val="0"/>
        <w:spacing w:line="360" w:lineRule="exact"/>
        <w:ind w:firstLine="420" w:firstLineChars="200"/>
        <w:rPr>
          <w:rFonts w:ascii="楷体_GB2312" w:eastAsia="楷体_GB2312"/>
          <w:szCs w:val="21"/>
        </w:rPr>
      </w:pPr>
    </w:p>
    <w:p>
      <w:pPr>
        <w:pStyle w:val="2"/>
        <w:spacing w:before="0" w:after="0" w:line="360" w:lineRule="atLeast"/>
        <w:jc w:val="center"/>
        <w:rPr>
          <w:rFonts w:eastAsia="楷体_GB2312"/>
          <w:sz w:val="28"/>
        </w:rPr>
      </w:pPr>
      <w:r>
        <w:rPr>
          <w:rFonts w:hint="eastAsia" w:eastAsia="楷体_GB2312"/>
          <w:sz w:val="28"/>
        </w:rPr>
        <w:t>八、信息披露</w:t>
      </w:r>
    </w:p>
    <w:p>
      <w:pPr>
        <w:snapToGrid w:val="0"/>
        <w:spacing w:line="360" w:lineRule="exact"/>
        <w:ind w:firstLine="422" w:firstLineChars="200"/>
        <w:rPr>
          <w:rFonts w:ascii="楷体_GB2312" w:eastAsia="楷体_GB2312"/>
          <w:b/>
          <w:bCs/>
        </w:rPr>
      </w:pPr>
      <w:r>
        <w:rPr>
          <w:rFonts w:hint="eastAsia" w:ascii="楷体_GB2312" w:eastAsia="楷体_GB2312"/>
          <w:b/>
          <w:bCs/>
        </w:rPr>
        <w:t>（一）产品募集信息披露</w:t>
      </w:r>
    </w:p>
    <w:p>
      <w:pPr>
        <w:snapToGrid w:val="0"/>
        <w:spacing w:line="360" w:lineRule="exact"/>
        <w:ind w:firstLine="420" w:firstLineChars="200"/>
        <w:rPr>
          <w:rFonts w:ascii="楷体_GB2312" w:eastAsia="楷体_GB2312"/>
        </w:rPr>
      </w:pPr>
      <w:r>
        <w:rPr>
          <w:rFonts w:ascii="楷体_GB2312" w:eastAsia="楷体_GB2312"/>
        </w:rPr>
        <w:t>1</w:t>
      </w:r>
      <w:r>
        <w:rPr>
          <w:rFonts w:hint="eastAsia" w:ascii="楷体_GB2312" w:eastAsia="楷体_GB2312"/>
        </w:rPr>
        <w:t>、产品说明书</w:t>
      </w:r>
    </w:p>
    <w:p>
      <w:pPr>
        <w:snapToGrid w:val="0"/>
        <w:spacing w:line="360" w:lineRule="exact"/>
        <w:ind w:firstLine="420" w:firstLineChars="200"/>
        <w:rPr>
          <w:rFonts w:ascii="楷体_GB2312" w:eastAsia="楷体_GB2312"/>
        </w:rPr>
      </w:pPr>
      <w:r>
        <w:rPr>
          <w:rFonts w:hint="eastAsia" w:ascii="楷体_GB2312" w:eastAsia="楷体_GB2312"/>
        </w:rPr>
        <w:t>产品管理人应当在正式办理产品份额认购业务前，将产品说明书在产品管理人网站上公布。</w:t>
      </w:r>
    </w:p>
    <w:p>
      <w:pPr>
        <w:snapToGrid w:val="0"/>
        <w:spacing w:line="360" w:lineRule="exact"/>
        <w:ind w:firstLine="420" w:firstLineChars="200"/>
        <w:rPr>
          <w:rFonts w:ascii="楷体_GB2312" w:eastAsia="楷体_GB2312"/>
        </w:rPr>
      </w:pPr>
      <w:r>
        <w:rPr>
          <w:rFonts w:ascii="楷体_GB2312" w:eastAsia="楷体_GB2312"/>
        </w:rPr>
        <w:t>2</w:t>
      </w:r>
      <w:r>
        <w:rPr>
          <w:rFonts w:hint="eastAsia" w:ascii="楷体_GB2312" w:eastAsia="楷体_GB2312"/>
        </w:rPr>
        <w:t>、产品成立报告</w:t>
      </w:r>
    </w:p>
    <w:p>
      <w:pPr>
        <w:snapToGrid w:val="0"/>
        <w:spacing w:line="360" w:lineRule="exact"/>
        <w:ind w:firstLine="420" w:firstLineChars="200"/>
        <w:rPr>
          <w:rFonts w:ascii="楷体_GB2312" w:eastAsia="楷体_GB2312"/>
        </w:rPr>
      </w:pPr>
      <w:r>
        <w:rPr>
          <w:rFonts w:hint="eastAsia" w:ascii="楷体_GB2312" w:eastAsia="楷体_GB2312"/>
        </w:rPr>
        <w:t>产品管理人应当在产品成立后</w:t>
      </w:r>
      <w:r>
        <w:rPr>
          <w:rFonts w:hint="eastAsia" w:ascii="楷体_GB2312" w:eastAsia="楷体_GB2312"/>
          <w:szCs w:val="21"/>
        </w:rPr>
        <w:t>五个工作日在产品管理人官方网站上发布产品成立公告</w:t>
      </w:r>
      <w:r>
        <w:rPr>
          <w:rFonts w:hint="eastAsia" w:ascii="楷体_GB2312" w:eastAsia="楷体_GB2312"/>
        </w:rPr>
        <w:t>。</w:t>
      </w:r>
    </w:p>
    <w:p>
      <w:pPr>
        <w:snapToGrid w:val="0"/>
        <w:spacing w:line="360" w:lineRule="exact"/>
        <w:ind w:firstLine="422" w:firstLineChars="200"/>
        <w:rPr>
          <w:rFonts w:ascii="楷体_GB2312" w:eastAsia="楷体_GB2312"/>
          <w:b/>
          <w:bCs/>
        </w:rPr>
      </w:pPr>
      <w:r>
        <w:rPr>
          <w:rFonts w:hint="eastAsia" w:ascii="楷体_GB2312" w:eastAsia="楷体_GB2312"/>
          <w:b/>
          <w:bCs/>
        </w:rPr>
        <w:t>（二）产品运作信息披露</w:t>
      </w:r>
    </w:p>
    <w:p>
      <w:pPr>
        <w:snapToGrid w:val="0"/>
        <w:spacing w:line="360" w:lineRule="exact"/>
        <w:ind w:firstLine="420" w:firstLineChars="200"/>
        <w:rPr>
          <w:rFonts w:ascii="楷体_GB2312" w:eastAsia="楷体_GB2312"/>
        </w:rPr>
      </w:pPr>
      <w:r>
        <w:rPr>
          <w:rFonts w:hint="eastAsia" w:ascii="楷体_GB2312" w:eastAsia="楷体_GB2312"/>
        </w:rPr>
        <w:t>产品净值公告</w:t>
      </w:r>
    </w:p>
    <w:p>
      <w:pPr>
        <w:snapToGrid w:val="0"/>
        <w:spacing w:line="360" w:lineRule="exact"/>
        <w:ind w:firstLine="420" w:firstLineChars="200"/>
        <w:rPr>
          <w:rFonts w:ascii="楷体_GB2312" w:eastAsia="楷体_GB2312"/>
        </w:rPr>
      </w:pPr>
      <w:r>
        <w:rPr>
          <w:rFonts w:hint="eastAsia" w:ascii="楷体_GB2312" w:eastAsia="楷体_GB2312"/>
        </w:rPr>
        <w:t>管理人将在每个申购确认日</w:t>
      </w:r>
      <w:r>
        <w:rPr>
          <w:rFonts w:ascii="楷体_GB2312" w:eastAsia="楷体_GB2312"/>
        </w:rPr>
        <w:t>/</w:t>
      </w:r>
      <w:r>
        <w:rPr>
          <w:rFonts w:hint="eastAsia" w:ascii="楷体_GB2312" w:eastAsia="楷体_GB2312"/>
        </w:rPr>
        <w:t>赎回兑付日后</w:t>
      </w:r>
      <w:r>
        <w:rPr>
          <w:rFonts w:ascii="楷体_GB2312" w:eastAsia="楷体_GB2312"/>
        </w:rPr>
        <w:t>2</w:t>
      </w:r>
      <w:r>
        <w:rPr>
          <w:rFonts w:hint="eastAsia" w:ascii="楷体_GB2312" w:eastAsia="楷体_GB2312"/>
        </w:rPr>
        <w:t>个工作日内通过官方网站披露最新的单位产品净值。</w:t>
      </w:r>
    </w:p>
    <w:p>
      <w:pPr>
        <w:snapToGrid w:val="0"/>
        <w:spacing w:line="360" w:lineRule="exact"/>
        <w:ind w:firstLine="420" w:firstLineChars="200"/>
        <w:rPr>
          <w:rFonts w:ascii="楷体_GB2312" w:eastAsia="楷体_GB2312"/>
        </w:rPr>
      </w:pPr>
      <w:r>
        <w:rPr>
          <w:rFonts w:hint="eastAsia" w:ascii="楷体_GB2312" w:eastAsia="楷体_GB2312"/>
        </w:rPr>
        <w:t>本产品存续期内，至少每月向投资者提供其所持有的理财产品账单。</w:t>
      </w:r>
    </w:p>
    <w:p>
      <w:pPr>
        <w:snapToGrid w:val="0"/>
        <w:spacing w:line="360" w:lineRule="exact"/>
        <w:ind w:firstLine="420" w:firstLineChars="200"/>
        <w:rPr>
          <w:rFonts w:ascii="楷体_GB2312" w:eastAsia="楷体_GB2312"/>
        </w:rPr>
      </w:pPr>
      <w:r>
        <w:rPr>
          <w:rFonts w:hint="eastAsia" w:ascii="楷体_GB2312" w:eastAsia="楷体_GB2312"/>
        </w:rPr>
        <w:t>本产品在每季度结束之日起十五个工作日内，上半年结束之日起六十个工作日内、每年结束之日起九十个工作日内编制完成产品季度、半年和年度报告等定期报告，并将报告正文通过产品管理人官方网站进行公布。</w:t>
      </w:r>
    </w:p>
    <w:p>
      <w:pPr>
        <w:snapToGrid w:val="0"/>
        <w:spacing w:line="360" w:lineRule="exact"/>
        <w:ind w:firstLine="420" w:firstLineChars="200"/>
        <w:rPr>
          <w:rFonts w:ascii="楷体_GB2312" w:eastAsia="楷体_GB2312"/>
        </w:rPr>
      </w:pPr>
      <w:r>
        <w:rPr>
          <w:rFonts w:hint="eastAsia" w:ascii="楷体_GB2312" w:eastAsia="楷体_GB2312"/>
        </w:rPr>
        <w:t>定期报告须披露产品的存续规模、收益表现，并分别列示直接和间接投资的资产种类、投资比例、投资组合的流动性风险分析，以及前十项资产具体名称、规模和比例等信息以及产品在季度、半年和年度最后一个市场交易日的份额净值、份额累计净值和资产净值。</w:t>
      </w:r>
    </w:p>
    <w:p>
      <w:pPr>
        <w:snapToGrid w:val="0"/>
        <w:spacing w:line="360" w:lineRule="exact"/>
        <w:ind w:firstLine="422" w:firstLineChars="200"/>
        <w:rPr>
          <w:rFonts w:ascii="楷体_GB2312" w:eastAsia="楷体_GB2312"/>
          <w:b/>
          <w:bCs/>
          <w:szCs w:val="21"/>
        </w:rPr>
      </w:pPr>
      <w:r>
        <w:rPr>
          <w:rFonts w:hint="eastAsia" w:ascii="楷体_GB2312" w:eastAsia="楷体_GB2312"/>
          <w:b/>
          <w:bCs/>
          <w:szCs w:val="21"/>
        </w:rPr>
        <w:t>（三）重大事项公告及临时信息披露</w:t>
      </w:r>
    </w:p>
    <w:p>
      <w:pPr>
        <w:snapToGrid w:val="0"/>
        <w:spacing w:line="360" w:lineRule="exact"/>
        <w:ind w:firstLine="422" w:firstLineChars="200"/>
        <w:rPr>
          <w:rFonts w:ascii="楷体_GB2312" w:eastAsia="楷体_GB2312"/>
          <w:szCs w:val="21"/>
        </w:rPr>
      </w:pPr>
      <w:r>
        <w:rPr>
          <w:rFonts w:hint="eastAsia" w:ascii="楷体_GB2312" w:eastAsia="楷体_GB2312"/>
          <w:b/>
          <w:bCs/>
          <w:szCs w:val="21"/>
        </w:rPr>
        <w:t>本产品在运作管理过程中，如发生常熟农商银行认为可能影响产品正常运作的重大不利事项时，包括但不限于市场发生重大变化、投资资产质量发生重大变化或者其他可能对投资者权益产生重大影响的突发事件，产品管理人将按照法律、法规及金融监督管理机构的有关规定及时报告并在管理人网站上公告。</w:t>
      </w:r>
    </w:p>
    <w:p>
      <w:pPr>
        <w:snapToGrid w:val="0"/>
        <w:spacing w:line="360" w:lineRule="exact"/>
        <w:ind w:firstLine="422" w:firstLineChars="200"/>
        <w:rPr>
          <w:rFonts w:ascii="楷体_GB2312" w:eastAsia="楷体_GB2312"/>
          <w:b/>
          <w:bCs/>
          <w:szCs w:val="21"/>
        </w:rPr>
      </w:pPr>
      <w:r>
        <w:rPr>
          <w:rFonts w:hint="eastAsia" w:ascii="楷体_GB2312" w:eastAsia="楷体_GB2312"/>
          <w:b/>
          <w:bCs/>
          <w:szCs w:val="21"/>
        </w:rPr>
        <w:t>（四）到期公告</w:t>
      </w:r>
    </w:p>
    <w:p>
      <w:pPr>
        <w:snapToGrid w:val="0"/>
        <w:spacing w:line="360" w:lineRule="exact"/>
        <w:ind w:firstLine="420" w:firstLineChars="200"/>
        <w:rPr>
          <w:rFonts w:ascii="楷体_GB2312" w:eastAsia="楷体_GB2312"/>
          <w:szCs w:val="21"/>
        </w:rPr>
      </w:pPr>
      <w:r>
        <w:rPr>
          <w:rFonts w:hint="eastAsia" w:ascii="楷体_GB2312" w:eastAsia="楷体_GB2312"/>
        </w:rPr>
        <w:t>本产品到期后五个工作日内，产品管理人将</w:t>
      </w:r>
      <w:r>
        <w:rPr>
          <w:rFonts w:hint="eastAsia" w:ascii="楷体_GB2312" w:eastAsia="楷体_GB2312"/>
          <w:szCs w:val="21"/>
        </w:rPr>
        <w:t>在产品管理人官方网站上</w:t>
      </w:r>
      <w:r>
        <w:rPr>
          <w:rFonts w:hint="eastAsia" w:ascii="楷体_GB2312" w:eastAsia="楷体_GB2312"/>
        </w:rPr>
        <w:t>披露到期报告。</w:t>
      </w:r>
    </w:p>
    <w:p>
      <w:pPr>
        <w:snapToGrid w:val="0"/>
        <w:spacing w:line="360" w:lineRule="exact"/>
        <w:ind w:firstLine="422" w:firstLineChars="200"/>
        <w:rPr>
          <w:rFonts w:ascii="楷体_GB2312" w:eastAsia="楷体_GB2312"/>
          <w:b/>
          <w:bCs/>
          <w:szCs w:val="21"/>
        </w:rPr>
      </w:pPr>
      <w:r>
        <w:rPr>
          <w:rFonts w:hint="eastAsia" w:ascii="楷体_GB2312" w:eastAsia="楷体_GB2312"/>
          <w:b/>
          <w:bCs/>
          <w:szCs w:val="21"/>
        </w:rPr>
        <w:t>（五）信息披露文件查询途径</w:t>
      </w:r>
    </w:p>
    <w:p>
      <w:pPr>
        <w:snapToGrid w:val="0"/>
        <w:spacing w:line="360" w:lineRule="exact"/>
        <w:ind w:firstLine="422" w:firstLineChars="200"/>
        <w:rPr>
          <w:rFonts w:ascii="楷体_GB2312" w:eastAsia="楷体_GB2312"/>
          <w:b/>
          <w:bCs/>
          <w:szCs w:val="21"/>
        </w:rPr>
        <w:sectPr>
          <w:headerReference r:id="rId3" w:type="default"/>
          <w:footerReference r:id="rId4" w:type="default"/>
          <w:pgSz w:w="11906" w:h="16838"/>
          <w:pgMar w:top="1701" w:right="1417" w:bottom="1587" w:left="1531" w:header="851" w:footer="992" w:gutter="0"/>
          <w:cols w:space="720" w:num="1"/>
          <w:docGrid w:type="lines" w:linePitch="312" w:charSpace="0"/>
        </w:sectPr>
      </w:pPr>
      <w:r>
        <w:rPr>
          <w:rFonts w:hint="eastAsia" w:ascii="楷体_GB2312" w:eastAsia="楷体_GB2312"/>
          <w:b/>
          <w:bCs/>
          <w:szCs w:val="21"/>
        </w:rPr>
        <w:t>除本产品说明书中另有约定之外，投资者可按照《投资者权益须知》约定途径查阅相关的信息披露文件。</w:t>
      </w:r>
    </w:p>
    <w:p>
      <w:pPr>
        <w:tabs>
          <w:tab w:val="left" w:pos="4536"/>
        </w:tabs>
        <w:jc w:val="left"/>
        <w:rPr>
          <w:rFonts w:ascii="宋体" w:hAnsi="宋体"/>
          <w:b/>
          <w:sz w:val="18"/>
          <w:szCs w:val="18"/>
        </w:rPr>
      </w:pPr>
      <w:r>
        <w:rPr>
          <w:rFonts w:hint="eastAsia" w:ascii="宋体" w:hAnsi="宋体"/>
          <w:b/>
          <w:sz w:val="18"/>
          <w:szCs w:val="18"/>
        </w:rPr>
        <w:t>如有销售人员介入进行营销推介，则应停止自助终端购买操作，转至销售专区/柜内购买。本行严禁销售人员在自助终端等电子设备上代客操作购买产品。</w:t>
      </w:r>
    </w:p>
    <w:p>
      <w:pPr>
        <w:jc w:val="center"/>
        <w:rPr>
          <w:rFonts w:ascii="宋体" w:hAnsi="宋体"/>
          <w:b/>
          <w:bCs/>
          <w:spacing w:val="40"/>
          <w:sz w:val="28"/>
          <w:szCs w:val="28"/>
        </w:rPr>
      </w:pPr>
      <w:r>
        <w:rPr>
          <w:rFonts w:hint="eastAsia" w:ascii="宋体" w:hAnsi="宋体"/>
          <w:b/>
          <w:bCs/>
          <w:spacing w:val="40"/>
          <w:sz w:val="28"/>
          <w:szCs w:val="28"/>
        </w:rPr>
        <w:t>风险揭示书</w:t>
      </w:r>
    </w:p>
    <w:p>
      <w:pPr>
        <w:jc w:val="center"/>
      </w:pPr>
    </w:p>
    <w:p>
      <w:pPr>
        <w:pStyle w:val="7"/>
        <w:ind w:left="0" w:leftChars="0"/>
        <w:rPr>
          <w:rFonts w:ascii="宋体" w:hAnsi="宋体"/>
          <w:sz w:val="18"/>
          <w:szCs w:val="18"/>
        </w:rPr>
      </w:pPr>
      <w:r>
        <w:rPr>
          <w:rFonts w:hint="eastAsia" w:ascii="宋体" w:hAnsi="宋体"/>
          <w:b/>
          <w:bCs/>
          <w:sz w:val="18"/>
          <w:szCs w:val="18"/>
        </w:rPr>
        <w:t xml:space="preserve"> 本产品为非保本净值型理财产品，不保证本金和收益，本产品任何业绩比较基准、测算收益或类似表述均属不具有法律约束力的用语，不代表投资者可能获得的实际收益，亦不构成常熟农商银行对本产品的任何收益承诺。请您充分认识投资风险，谨慎投资。</w:t>
      </w:r>
    </w:p>
    <w:p>
      <w:pPr>
        <w:pStyle w:val="7"/>
        <w:ind w:left="0" w:leftChars="0"/>
        <w:rPr>
          <w:rFonts w:ascii="宋体" w:hAnsi="宋体"/>
          <w:sz w:val="18"/>
          <w:szCs w:val="18"/>
        </w:rPr>
      </w:pPr>
      <w:r>
        <w:rPr>
          <w:rFonts w:hint="eastAsia" w:ascii="宋体" w:hAnsi="宋体"/>
          <w:sz w:val="18"/>
          <w:szCs w:val="18"/>
        </w:rPr>
        <w:t xml:space="preserve">  投资者投资本理财产品可能存在但不限于以下风险：</w:t>
      </w:r>
    </w:p>
    <w:p>
      <w:pPr>
        <w:pStyle w:val="7"/>
        <w:numPr>
          <w:ilvl w:val="0"/>
          <w:numId w:val="2"/>
        </w:numPr>
        <w:spacing w:after="0"/>
        <w:ind w:leftChars="0"/>
        <w:jc w:val="left"/>
        <w:rPr>
          <w:rFonts w:ascii="宋体" w:hAnsi="宋体"/>
          <w:sz w:val="18"/>
          <w:szCs w:val="18"/>
        </w:rPr>
      </w:pPr>
      <w:r>
        <w:rPr>
          <w:rFonts w:hint="eastAsia" w:ascii="宋体" w:hAnsi="宋体"/>
          <w:sz w:val="18"/>
          <w:szCs w:val="18"/>
        </w:rPr>
        <w:t>市场风险：指国际国内金融市场受到各种因素影响，导致本产品投资资产价格变化，从而导致本产品收益减少，甚至本金损失。市场风险主要包括政策风险、经济周期风险、利率风险等。</w:t>
      </w:r>
    </w:p>
    <w:p>
      <w:pPr>
        <w:pStyle w:val="7"/>
        <w:numPr>
          <w:ilvl w:val="0"/>
          <w:numId w:val="2"/>
        </w:numPr>
        <w:spacing w:after="0"/>
        <w:ind w:leftChars="0"/>
        <w:jc w:val="left"/>
        <w:rPr>
          <w:rFonts w:ascii="宋体" w:hAnsi="宋体"/>
          <w:sz w:val="18"/>
          <w:szCs w:val="18"/>
        </w:rPr>
      </w:pPr>
      <w:r>
        <w:rPr>
          <w:rFonts w:hint="eastAsia" w:ascii="宋体" w:hAnsi="宋体"/>
          <w:sz w:val="18"/>
          <w:szCs w:val="18"/>
        </w:rPr>
        <w:t>信用风险：指本产品投资资产发行人、交易对手发生违约，不向本产品偿付本金和收益，导致产品本金及收益减少甚至损失。</w:t>
      </w:r>
    </w:p>
    <w:p>
      <w:pPr>
        <w:pStyle w:val="7"/>
        <w:numPr>
          <w:ilvl w:val="0"/>
          <w:numId w:val="2"/>
        </w:numPr>
        <w:spacing w:after="0"/>
        <w:ind w:leftChars="0"/>
        <w:jc w:val="left"/>
        <w:rPr>
          <w:rFonts w:ascii="宋体" w:hAnsi="宋体"/>
          <w:sz w:val="18"/>
          <w:szCs w:val="18"/>
        </w:rPr>
      </w:pPr>
      <w:r>
        <w:rPr>
          <w:rFonts w:hint="eastAsia" w:ascii="宋体" w:hAnsi="宋体"/>
          <w:b/>
          <w:bCs/>
          <w:sz w:val="18"/>
          <w:szCs w:val="18"/>
        </w:rPr>
        <w:t>流动性风险</w:t>
      </w:r>
      <w:r>
        <w:rPr>
          <w:rFonts w:hint="eastAsia" w:ascii="宋体" w:hAnsi="宋体"/>
          <w:sz w:val="18"/>
          <w:szCs w:val="18"/>
        </w:rPr>
        <w:t>：</w:t>
      </w:r>
      <w:r>
        <w:rPr>
          <w:rFonts w:hint="eastAsia" w:ascii="宋体" w:hAnsi="宋体"/>
          <w:b/>
          <w:bCs/>
          <w:sz w:val="18"/>
          <w:szCs w:val="18"/>
        </w:rPr>
        <w:t>指在本产品存续期内，投资者只能在本产品说明书约定的赎回期内办理赎回；约定赎回期外，投资者无法进行理财产品的份额赎回。出现巨额赎回时，常熟农商银行有权拒绝超额部分的赎回申请，由此可能影响投资者的资金流动性安排，带来流动性风险。</w:t>
      </w:r>
    </w:p>
    <w:p>
      <w:pPr>
        <w:pStyle w:val="7"/>
        <w:numPr>
          <w:ilvl w:val="0"/>
          <w:numId w:val="2"/>
        </w:numPr>
        <w:spacing w:after="0"/>
        <w:ind w:leftChars="0"/>
        <w:jc w:val="left"/>
        <w:rPr>
          <w:rFonts w:ascii="宋体" w:hAnsi="宋体"/>
          <w:sz w:val="18"/>
          <w:szCs w:val="18"/>
        </w:rPr>
      </w:pPr>
      <w:r>
        <w:rPr>
          <w:rFonts w:hint="eastAsia" w:ascii="宋体" w:hAnsi="宋体"/>
          <w:sz w:val="18"/>
          <w:szCs w:val="18"/>
        </w:rPr>
        <w:t>管理风险：在本理财产品运作过程中，可能因产品管理人、相关合作机构对经济形势和金融市场走势等判断有误、获取的信息不全、或对于投资工具使用不当等影响产品本金及收益水平。</w:t>
      </w:r>
    </w:p>
    <w:p>
      <w:pPr>
        <w:pStyle w:val="7"/>
        <w:numPr>
          <w:ilvl w:val="0"/>
          <w:numId w:val="2"/>
        </w:numPr>
        <w:spacing w:after="0"/>
        <w:ind w:leftChars="0"/>
        <w:jc w:val="left"/>
        <w:rPr>
          <w:rFonts w:ascii="宋体" w:hAnsi="宋体"/>
          <w:sz w:val="18"/>
          <w:szCs w:val="18"/>
        </w:rPr>
      </w:pPr>
      <w:r>
        <w:rPr>
          <w:rFonts w:hint="eastAsia" w:ascii="宋体" w:hAnsi="宋体"/>
          <w:sz w:val="18"/>
          <w:szCs w:val="18"/>
        </w:rPr>
        <w:t>政策风险：本理财产品存续期内可能会遇到国家金融政策重大调整，影响产品本金及收益水平。</w:t>
      </w:r>
    </w:p>
    <w:p>
      <w:pPr>
        <w:numPr>
          <w:ilvl w:val="0"/>
          <w:numId w:val="2"/>
        </w:numPr>
        <w:rPr>
          <w:rFonts w:ascii="宋体" w:hAnsi="宋体"/>
          <w:b/>
          <w:bCs/>
          <w:sz w:val="18"/>
          <w:szCs w:val="18"/>
        </w:rPr>
      </w:pPr>
      <w:r>
        <w:rPr>
          <w:rFonts w:hint="eastAsia" w:ascii="宋体" w:hAnsi="宋体"/>
          <w:b/>
          <w:bCs/>
          <w:sz w:val="18"/>
          <w:szCs w:val="18"/>
        </w:rPr>
        <w:t>信息传递风险：常熟农商银行将按照产品说明书、投资者权益须知中有关“信息披露”的约定，进行本理财产品的信息披露。投资者应根据“信息披露”的约定及时进行查询。如果投资者未及时查询，或由于通讯故障、系统故障以及其他不可抗力等因素的影响使得投资者无法及时了解产品信息，可能会影响投资者的投资决策。另外，投资者预留在常熟农商银行的有效联系方式变更的，应及时通知常熟农商银行。如投资者未及时告知常熟农商银行联系方式变更的，常熟农商银行将可能在需要联系投资者时无法及时联系上，并可能会由此影响投资者的投资决策。</w:t>
      </w:r>
    </w:p>
    <w:p>
      <w:pPr>
        <w:numPr>
          <w:ilvl w:val="0"/>
          <w:numId w:val="2"/>
        </w:numPr>
        <w:rPr>
          <w:rFonts w:ascii="宋体" w:hAnsi="宋体"/>
          <w:sz w:val="18"/>
          <w:szCs w:val="18"/>
        </w:rPr>
      </w:pPr>
      <w:r>
        <w:rPr>
          <w:rFonts w:hint="eastAsia" w:ascii="宋体" w:hAnsi="宋体"/>
          <w:sz w:val="18"/>
          <w:szCs w:val="18"/>
        </w:rPr>
        <w:t>产品不成立风险：如产品募集期届满，募集总金额未达到规模下限（如有约定）或市场发生剧烈波动，经常熟农商银行合理判断难以按照本说明书规定向投资者提供本产品，常熟农商银行可能决定产品不成立。</w:t>
      </w:r>
    </w:p>
    <w:p>
      <w:pPr>
        <w:numPr>
          <w:ilvl w:val="0"/>
          <w:numId w:val="2"/>
        </w:numPr>
        <w:rPr>
          <w:rFonts w:ascii="宋体" w:hAnsi="宋体"/>
          <w:sz w:val="18"/>
          <w:szCs w:val="18"/>
        </w:rPr>
      </w:pPr>
      <w:r>
        <w:rPr>
          <w:rFonts w:hint="eastAsia" w:ascii="宋体" w:hAnsi="宋体"/>
          <w:sz w:val="18"/>
          <w:szCs w:val="18"/>
        </w:rPr>
        <w:t>未知价赎回风险：本产品采用“金额认/申购、份额赎回”原则，即产品认/申购以金额申请，赎回以份额申请，申请与赎回价格以“未知价原则”受理申请，即以赎回日上一日单位净值进行计算。</w:t>
      </w:r>
    </w:p>
    <w:p>
      <w:pPr>
        <w:numPr>
          <w:ilvl w:val="0"/>
          <w:numId w:val="2"/>
        </w:numPr>
        <w:rPr>
          <w:rFonts w:ascii="宋体" w:hAnsi="宋体"/>
          <w:sz w:val="18"/>
          <w:szCs w:val="18"/>
        </w:rPr>
      </w:pPr>
      <w:r>
        <w:rPr>
          <w:rFonts w:hint="eastAsia" w:ascii="宋体" w:hAnsi="宋体"/>
          <w:sz w:val="18"/>
          <w:szCs w:val="18"/>
        </w:rPr>
        <w:t>兑付延期风险：如本理财产品项下对应的投资标的变现不及时等原因造成本理财产品不能按时支付赎回金额，则投资者面临产品期限延期、调整等风险。</w:t>
      </w:r>
    </w:p>
    <w:p>
      <w:pPr>
        <w:numPr>
          <w:ilvl w:val="0"/>
          <w:numId w:val="2"/>
        </w:numPr>
        <w:rPr>
          <w:rFonts w:ascii="宋体" w:hAnsi="宋体"/>
          <w:sz w:val="18"/>
          <w:szCs w:val="18"/>
        </w:rPr>
      </w:pPr>
      <w:r>
        <w:rPr>
          <w:rFonts w:hint="eastAsia" w:ascii="宋体" w:hAnsi="宋体"/>
          <w:sz w:val="18"/>
          <w:szCs w:val="18"/>
        </w:rPr>
        <w:t>税收风险：常熟农商银行暂不负责代扣代缴投资者购买本产品所得收益应缴纳的各项税款。若相关税法法规规定产品管理人应代扣代缴相关税款，常熟农商银行有权依法履行代扣代缴义务，则投资者面临其取得的收益扣减相应税费的风险。此外，税收法规的执行及修订可能对本产品投资运作等过程中需缴纳的相关税费产生影响，可能影响投资者收益，甚至造成产品本金损失的风险。</w:t>
      </w:r>
    </w:p>
    <w:p>
      <w:pPr>
        <w:numPr>
          <w:ilvl w:val="0"/>
          <w:numId w:val="2"/>
        </w:numPr>
        <w:rPr>
          <w:rFonts w:ascii="宋体" w:hAnsi="宋体"/>
          <w:b/>
          <w:bCs/>
          <w:sz w:val="18"/>
          <w:szCs w:val="18"/>
        </w:rPr>
      </w:pPr>
      <w:r>
        <w:rPr>
          <w:rFonts w:hint="eastAsia" w:ascii="宋体" w:hAnsi="宋体"/>
          <w:b/>
          <w:bCs/>
          <w:sz w:val="18"/>
          <w:szCs w:val="18"/>
        </w:rPr>
        <w:t>特定投资标的风险：</w:t>
      </w:r>
    </w:p>
    <w:p>
      <w:pPr>
        <w:ind w:firstLine="361" w:firstLineChars="200"/>
        <w:rPr>
          <w:rFonts w:ascii="宋体" w:hAnsi="宋体"/>
          <w:b/>
          <w:bCs/>
          <w:sz w:val="18"/>
          <w:szCs w:val="18"/>
        </w:rPr>
      </w:pPr>
      <w:r>
        <w:rPr>
          <w:rFonts w:hint="eastAsia" w:ascii="宋体" w:hAnsi="宋体"/>
          <w:b/>
          <w:bCs/>
          <w:sz w:val="18"/>
          <w:szCs w:val="18"/>
        </w:rPr>
        <w:t>（1）投资于债券的特殊风险</w:t>
      </w:r>
    </w:p>
    <w:p>
      <w:pPr>
        <w:ind w:firstLine="360" w:firstLineChars="200"/>
        <w:rPr>
          <w:rFonts w:ascii="宋体" w:hAnsi="宋体"/>
          <w:sz w:val="18"/>
          <w:szCs w:val="18"/>
        </w:rPr>
      </w:pPr>
      <w:r>
        <w:rPr>
          <w:rFonts w:hint="eastAsia" w:ascii="宋体" w:hAnsi="宋体"/>
          <w:sz w:val="18"/>
          <w:szCs w:val="18"/>
        </w:rPr>
        <w:t>A、市场平均利率水平变化导致债券价格变化的风险；</w:t>
      </w:r>
    </w:p>
    <w:p>
      <w:pPr>
        <w:ind w:firstLine="360" w:firstLineChars="200"/>
        <w:rPr>
          <w:rFonts w:ascii="宋体" w:hAnsi="宋体"/>
          <w:sz w:val="18"/>
          <w:szCs w:val="18"/>
        </w:rPr>
      </w:pPr>
      <w:r>
        <w:rPr>
          <w:rFonts w:hint="eastAsia" w:ascii="宋体" w:hAnsi="宋体"/>
          <w:sz w:val="18"/>
          <w:szCs w:val="18"/>
        </w:rPr>
        <w:t>B、债券市场不同期限、不同类属债券之间的利差变动导致相应期限和类属债券价格变化的风险；</w:t>
      </w:r>
    </w:p>
    <w:p>
      <w:pPr>
        <w:ind w:firstLine="360" w:firstLineChars="200"/>
        <w:rPr>
          <w:rFonts w:ascii="宋体" w:hAnsi="宋体"/>
          <w:sz w:val="18"/>
          <w:szCs w:val="18"/>
        </w:rPr>
      </w:pPr>
      <w:r>
        <w:rPr>
          <w:rFonts w:hint="eastAsia" w:ascii="宋体" w:hAnsi="宋体"/>
          <w:sz w:val="18"/>
          <w:szCs w:val="18"/>
        </w:rPr>
        <w:t>C、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ind w:firstLine="360" w:firstLineChars="200"/>
        <w:rPr>
          <w:rFonts w:ascii="宋体" w:hAnsi="宋体"/>
          <w:sz w:val="18"/>
          <w:szCs w:val="18"/>
        </w:rPr>
      </w:pPr>
      <w:r>
        <w:rPr>
          <w:rFonts w:hint="eastAsia" w:ascii="宋体" w:hAnsi="宋体"/>
          <w:sz w:val="18"/>
          <w:szCs w:val="18"/>
        </w:rPr>
        <w:t>D、债券发行人、担保人出现违约、拒绝支付到期本息，或由于债券发行人、担保人信用质量降低导致债券价格下降及无法收回投资收益的风险；</w:t>
      </w:r>
    </w:p>
    <w:p>
      <w:pPr>
        <w:ind w:firstLine="360" w:firstLineChars="200"/>
        <w:rPr>
          <w:rFonts w:ascii="宋体" w:hAnsi="宋体"/>
          <w:sz w:val="18"/>
          <w:szCs w:val="18"/>
        </w:rPr>
      </w:pPr>
      <w:r>
        <w:rPr>
          <w:rFonts w:hint="eastAsia" w:ascii="宋体" w:hAnsi="宋体"/>
          <w:sz w:val="18"/>
          <w:szCs w:val="18"/>
        </w:rPr>
        <w:t>E、与信用等级较高的债券相比，投资于信用等级较低的债券将因为发行主体的偿还债务能力略低、受不利经济环境的影响更大以及违约风险更高等原因而面临更大的投资风险；</w:t>
      </w:r>
    </w:p>
    <w:p>
      <w:pPr>
        <w:ind w:firstLine="360" w:firstLineChars="200"/>
        <w:rPr>
          <w:rFonts w:ascii="宋体" w:hAnsi="宋体"/>
          <w:sz w:val="18"/>
          <w:szCs w:val="18"/>
        </w:rPr>
      </w:pPr>
      <w:r>
        <w:rPr>
          <w:rFonts w:hint="eastAsia" w:ascii="宋体" w:hAnsi="宋体"/>
          <w:sz w:val="18"/>
          <w:szCs w:val="18"/>
        </w:rPr>
        <w:t>F、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firstLine="360" w:firstLineChars="200"/>
        <w:rPr>
          <w:rFonts w:ascii="宋体" w:hAnsi="宋体"/>
          <w:sz w:val="18"/>
          <w:szCs w:val="18"/>
        </w:rPr>
      </w:pPr>
      <w:r>
        <w:rPr>
          <w:rFonts w:hint="eastAsia" w:ascii="宋体" w:hAnsi="宋体"/>
          <w:sz w:val="18"/>
          <w:szCs w:val="18"/>
        </w:rPr>
        <w:t>G、相对于其他公开发行的债券，非公开定向债务融资工具、非公开发行公司债的流动性较差，其流通和转让均存在一定的限制，因此投资于非公开定向债务融资工具将面临较大的投资风险；</w:t>
      </w:r>
    </w:p>
    <w:p>
      <w:pPr>
        <w:ind w:firstLine="360" w:firstLineChars="200"/>
        <w:rPr>
          <w:rFonts w:ascii="宋体" w:hAnsi="宋体"/>
          <w:sz w:val="18"/>
          <w:szCs w:val="18"/>
        </w:rPr>
      </w:pPr>
      <w:r>
        <w:rPr>
          <w:rFonts w:hint="eastAsia" w:ascii="宋体" w:hAnsi="宋体"/>
          <w:sz w:val="18"/>
          <w:szCs w:val="18"/>
        </w:rPr>
        <w:t>H、债券回购风险：债券投资可能会运用正回购来增加组合杠杆，较高的债券正回购比例可能增加组合的利率风险。</w:t>
      </w:r>
    </w:p>
    <w:p>
      <w:pPr>
        <w:ind w:firstLine="361" w:firstLineChars="200"/>
        <w:rPr>
          <w:rFonts w:ascii="宋体" w:hAnsi="宋体"/>
          <w:b/>
          <w:bCs/>
          <w:sz w:val="18"/>
          <w:szCs w:val="18"/>
        </w:rPr>
      </w:pPr>
      <w:r>
        <w:rPr>
          <w:rFonts w:hint="eastAsia" w:ascii="宋体" w:hAnsi="宋体"/>
          <w:b/>
          <w:bCs/>
          <w:sz w:val="18"/>
          <w:szCs w:val="18"/>
        </w:rPr>
        <w:t>（2）投资于资产支持证券的特殊风险</w:t>
      </w:r>
    </w:p>
    <w:p>
      <w:pPr>
        <w:ind w:firstLine="360" w:firstLineChars="200"/>
        <w:rPr>
          <w:rFonts w:ascii="宋体" w:hAnsi="宋体"/>
          <w:b/>
          <w:bCs/>
          <w:sz w:val="18"/>
          <w:szCs w:val="18"/>
        </w:rPr>
      </w:pPr>
      <w:r>
        <w:rPr>
          <w:rFonts w:hint="eastAsia" w:ascii="宋体" w:hAnsi="宋体"/>
          <w:sz w:val="18"/>
          <w:szCs w:val="18"/>
        </w:rPr>
        <w:t>资产支持证券的投资收益取决于资产支持证券项下的基础资产情况，如该基础资产发生原始权益人破产或基础资产项下现金流未能及时完整取得等情况，资产支持证券的收益将受到影响，且资产支持证券的流动性较低，由此本计划财产可能遭受损失，理财产品投资者可能无法如期获得投资收益。</w:t>
      </w:r>
    </w:p>
    <w:p>
      <w:pPr>
        <w:ind w:firstLine="361" w:firstLineChars="200"/>
        <w:rPr>
          <w:rFonts w:ascii="宋体" w:hAnsi="宋体"/>
          <w:b/>
          <w:bCs/>
          <w:sz w:val="18"/>
          <w:szCs w:val="18"/>
        </w:rPr>
      </w:pPr>
      <w:r>
        <w:rPr>
          <w:rFonts w:hint="eastAsia" w:ascii="宋体" w:hAnsi="宋体"/>
          <w:b/>
          <w:bCs/>
          <w:sz w:val="18"/>
          <w:szCs w:val="18"/>
        </w:rPr>
        <w:t>（3）投资于衍生金融工具的特殊风险</w:t>
      </w:r>
    </w:p>
    <w:p>
      <w:pPr>
        <w:ind w:firstLine="360" w:firstLineChars="200"/>
        <w:rPr>
          <w:rFonts w:ascii="宋体" w:hAnsi="宋体"/>
          <w:sz w:val="18"/>
          <w:szCs w:val="18"/>
        </w:rPr>
      </w:pPr>
      <w:r>
        <w:rPr>
          <w:rFonts w:hint="eastAsia" w:ascii="宋体" w:hAnsi="宋体"/>
          <w:sz w:val="18"/>
          <w:szCs w:val="18"/>
        </w:rPr>
        <w:t>理财产品的投资范围如包括衍生金融工具（包括但不限于国债期货、利率互换等衍生金融工具），衍生金融工具的投资可能面临市场风险、基差风险、流动性风险。市场风险是因衍生金融工具市场价格波动使所持有的衍生品合约价值发生变化的风险。基差风险是期货市场的特有风险之一，是指由于期货与现货间的价差的波动，影响套期保值或套利效果，使之发生意外损益的风险。流动性风险可分为两类：一类为流通量风险，是指衍生品合约无法及时以所希望的价格建立或了结头寸的风险，此类风险往往是由市场缺乏广度或深度导致的；另一类为资金量风险，是指资金量无法满足保证金要求，使得所持有的头寸面临被强制平仓的风险。由此本理财产品财产可能遭受损失，理财产品投资者可能无法如期获得投资收益。</w:t>
      </w:r>
    </w:p>
    <w:p>
      <w:pPr>
        <w:ind w:firstLine="361" w:firstLineChars="200"/>
        <w:rPr>
          <w:rFonts w:ascii="宋体" w:hAnsi="宋体"/>
          <w:b/>
          <w:bCs/>
          <w:sz w:val="18"/>
          <w:szCs w:val="18"/>
        </w:rPr>
      </w:pPr>
      <w:r>
        <w:rPr>
          <w:rFonts w:hint="eastAsia" w:ascii="宋体" w:hAnsi="宋体"/>
          <w:b/>
          <w:bCs/>
          <w:sz w:val="18"/>
          <w:szCs w:val="18"/>
        </w:rPr>
        <w:t>（4）如本产品进行债权投资的，则本产品可能面临如下风险：</w:t>
      </w:r>
    </w:p>
    <w:p>
      <w:pPr>
        <w:ind w:firstLine="360" w:firstLineChars="200"/>
        <w:rPr>
          <w:rFonts w:ascii="宋体" w:hAnsi="宋体"/>
          <w:sz w:val="18"/>
          <w:szCs w:val="18"/>
        </w:rPr>
      </w:pPr>
      <w:r>
        <w:rPr>
          <w:rFonts w:hint="eastAsia" w:ascii="宋体" w:hAnsi="宋体"/>
          <w:sz w:val="18"/>
          <w:szCs w:val="18"/>
        </w:rPr>
        <w:t>A、融资方的信用风险：由于还款履约能力发生变化，融资方在相关债权到期后，未能偿还或逾期偿还相关融资本息所导致本产品财产损失的风险；</w:t>
      </w:r>
    </w:p>
    <w:p>
      <w:pPr>
        <w:ind w:firstLine="360" w:firstLineChars="200"/>
        <w:rPr>
          <w:rFonts w:ascii="宋体" w:hAnsi="宋体"/>
          <w:sz w:val="18"/>
          <w:szCs w:val="18"/>
        </w:rPr>
      </w:pPr>
      <w:r>
        <w:rPr>
          <w:rFonts w:hint="eastAsia" w:ascii="宋体" w:hAnsi="宋体"/>
          <w:sz w:val="18"/>
          <w:szCs w:val="18"/>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firstLine="360" w:firstLineChars="200"/>
        <w:rPr>
          <w:rFonts w:ascii="宋体" w:hAnsi="宋体"/>
          <w:sz w:val="18"/>
          <w:szCs w:val="18"/>
        </w:rPr>
      </w:pPr>
      <w:r>
        <w:rPr>
          <w:rFonts w:hint="eastAsia" w:ascii="宋体" w:hAnsi="宋体"/>
          <w:sz w:val="18"/>
          <w:szCs w:val="18"/>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firstLine="360" w:firstLineChars="200"/>
        <w:rPr>
          <w:rFonts w:ascii="宋体" w:hAnsi="宋体"/>
          <w:sz w:val="18"/>
          <w:szCs w:val="18"/>
        </w:rPr>
      </w:pPr>
      <w:r>
        <w:rPr>
          <w:rFonts w:hint="eastAsia" w:ascii="宋体" w:hAnsi="宋体"/>
          <w:sz w:val="18"/>
          <w:szCs w:val="18"/>
        </w:rPr>
        <w:t>D、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firstLine="360" w:firstLineChars="200"/>
        <w:rPr>
          <w:rFonts w:ascii="宋体" w:hAnsi="宋体"/>
          <w:sz w:val="18"/>
          <w:szCs w:val="18"/>
        </w:rPr>
      </w:pPr>
      <w:r>
        <w:rPr>
          <w:rFonts w:hint="eastAsia" w:ascii="宋体" w:hAnsi="宋体"/>
          <w:sz w:val="18"/>
          <w:szCs w:val="18"/>
        </w:rPr>
        <w:t>E、如本理财产品财产管理运用中存在保证担保安排的，若由于保证人因任何原因未履行保证义务的，则可能给本理财产品带来风险。</w:t>
      </w:r>
    </w:p>
    <w:p>
      <w:pPr>
        <w:ind w:firstLine="361" w:firstLineChars="200"/>
        <w:rPr>
          <w:rFonts w:ascii="宋体" w:hAnsi="宋体"/>
          <w:b/>
          <w:bCs/>
          <w:sz w:val="18"/>
          <w:szCs w:val="18"/>
        </w:rPr>
      </w:pPr>
      <w:r>
        <w:rPr>
          <w:rFonts w:hint="eastAsia" w:ascii="宋体" w:hAnsi="宋体"/>
          <w:b/>
          <w:bCs/>
          <w:sz w:val="18"/>
          <w:szCs w:val="18"/>
        </w:rPr>
        <w:t>（5）投资于相关信托受益权、资产管理计划的计划份额时，可能面临的受托人/资产管理人风险</w:t>
      </w:r>
    </w:p>
    <w:p>
      <w:pPr>
        <w:ind w:firstLine="360" w:firstLineChars="200"/>
        <w:rPr>
          <w:rFonts w:ascii="宋体" w:hAnsi="宋体"/>
          <w:sz w:val="18"/>
          <w:szCs w:val="18"/>
        </w:rPr>
      </w:pPr>
      <w:r>
        <w:rPr>
          <w:rFonts w:hint="eastAsia" w:ascii="宋体" w:hAnsi="宋体"/>
          <w:sz w:val="18"/>
          <w:szCs w:val="18"/>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产品项下委托财产的损失等风险。</w:t>
      </w:r>
    </w:p>
    <w:p>
      <w:pPr>
        <w:numPr>
          <w:ilvl w:val="0"/>
          <w:numId w:val="2"/>
        </w:numPr>
        <w:rPr>
          <w:rFonts w:ascii="宋体" w:hAnsi="宋体"/>
          <w:b/>
          <w:sz w:val="18"/>
          <w:szCs w:val="18"/>
        </w:rPr>
      </w:pPr>
      <w:r>
        <w:rPr>
          <w:rFonts w:hint="eastAsia" w:ascii="宋体" w:hAnsi="宋体"/>
          <w:sz w:val="18"/>
          <w:szCs w:val="18"/>
        </w:rPr>
        <w:t>其它风险：指由于自然灾害、战争、证券交易所系统性故障等不可抗力因素的出现，将严重影响金融市场的正常运行，从而导致本产品投资资产收益降低或损失，甚至影响本产品的受理、投资、偿还等的正常进行，进而影响产品的本金和收益安全。</w:t>
      </w:r>
    </w:p>
    <w:p>
      <w:pPr>
        <w:numPr>
          <w:ilvl w:val="0"/>
          <w:numId w:val="2"/>
        </w:numPr>
        <w:rPr>
          <w:rFonts w:ascii="宋体" w:hAnsi="宋体"/>
          <w:b/>
          <w:bCs/>
          <w:sz w:val="18"/>
          <w:szCs w:val="18"/>
        </w:rPr>
      </w:pPr>
      <w:r>
        <w:rPr>
          <w:rFonts w:hint="eastAsia" w:ascii="宋体" w:hAnsi="宋体"/>
          <w:b/>
          <w:bCs/>
          <w:sz w:val="18"/>
          <w:szCs w:val="18"/>
        </w:rPr>
        <w:t>最不利情况下，由于市场波动导致贬值或者发生信用风险导致相应损失，使产品赎回或到期/提前终止时理财投资收入有可能不足以支付投资者所获分配金额，届时理财资金将按照产品赎回或到期/提前终止时的产品实际现金资产向投资者进行分配。但理财产品将向发生信用风险的投资品种发行主体进行追偿，所追偿的全部收益在扣除相关费用后，将继续向投资者进行清偿。</w:t>
      </w:r>
    </w:p>
    <w:p>
      <w:pPr>
        <w:rPr>
          <w:rFonts w:ascii="宋体" w:hAnsi="宋体"/>
          <w:sz w:val="18"/>
          <w:szCs w:val="18"/>
        </w:rPr>
      </w:pPr>
    </w:p>
    <w:p>
      <w:pPr>
        <w:numPr>
          <w:ilvl w:val="0"/>
          <w:numId w:val="2"/>
        </w:numPr>
        <w:ind w:left="0" w:firstLine="0"/>
        <w:rPr>
          <w:rFonts w:ascii="宋体" w:hAnsi="宋体"/>
          <w:sz w:val="18"/>
          <w:szCs w:val="18"/>
        </w:rPr>
      </w:pPr>
      <w:r>
        <w:rPr>
          <w:rFonts w:hint="eastAsia" w:ascii="宋体" w:hAnsi="宋体"/>
          <w:b/>
          <w:bCs/>
          <w:sz w:val="18"/>
          <w:szCs w:val="18"/>
        </w:rPr>
        <w:t>本理财产品为</w:t>
      </w:r>
      <w:r>
        <w:rPr>
          <w:rFonts w:hint="eastAsia" w:ascii="宋体" w:hAnsi="宋体"/>
          <w:b/>
          <w:bCs/>
          <w:sz w:val="18"/>
          <w:szCs w:val="18"/>
          <w:u w:val="single"/>
        </w:rPr>
        <w:t>非保本固定收益类净值型</w:t>
      </w:r>
      <w:r>
        <w:rPr>
          <w:rFonts w:hint="eastAsia" w:ascii="宋体" w:hAnsi="宋体"/>
          <w:b/>
          <w:bCs/>
          <w:sz w:val="18"/>
          <w:szCs w:val="18"/>
        </w:rPr>
        <w:t>产品，期限</w:t>
      </w:r>
      <w:r>
        <w:rPr>
          <w:rFonts w:hint="eastAsia" w:ascii="宋体" w:hAnsi="宋体"/>
          <w:b/>
          <w:bCs/>
          <w:sz w:val="18"/>
          <w:szCs w:val="18"/>
          <w:u w:val="single"/>
        </w:rPr>
        <w:t>7305天</w:t>
      </w:r>
      <w:r>
        <w:rPr>
          <w:rFonts w:hint="eastAsia" w:ascii="宋体" w:hAnsi="宋体"/>
          <w:b/>
          <w:bCs/>
          <w:sz w:val="18"/>
          <w:szCs w:val="18"/>
        </w:rPr>
        <w:t>，根据常熟农商银行内部风险评级标准，本产品风险评级为</w:t>
      </w:r>
      <w:r>
        <w:rPr>
          <w:rFonts w:hint="eastAsia" w:ascii="宋体" w:hAnsi="宋体"/>
          <w:b/>
          <w:bCs/>
          <w:sz w:val="18"/>
          <w:szCs w:val="18"/>
          <w:u w:val="single"/>
        </w:rPr>
        <w:t>二级</w:t>
      </w:r>
      <w:r>
        <w:rPr>
          <w:rFonts w:hint="eastAsia" w:ascii="宋体" w:hAnsi="宋体"/>
          <w:b/>
          <w:bCs/>
          <w:sz w:val="18"/>
          <w:szCs w:val="18"/>
        </w:rPr>
        <w:t>，适合购买的投资者为</w:t>
      </w:r>
      <w:r>
        <w:rPr>
          <w:rFonts w:hint="eastAsia" w:ascii="宋体" w:hAnsi="宋体"/>
          <w:b/>
          <w:bCs/>
          <w:sz w:val="18"/>
          <w:szCs w:val="18"/>
          <w:u w:val="single"/>
        </w:rPr>
        <w:t>谨慎型、稳健型、进取型、积极进取型</w:t>
      </w:r>
      <w:r>
        <w:rPr>
          <w:rFonts w:hint="eastAsia" w:ascii="宋体" w:hAnsi="宋体"/>
          <w:b/>
          <w:bCs/>
          <w:sz w:val="18"/>
          <w:szCs w:val="18"/>
        </w:rPr>
        <w:t>。最不利情形下投资结果示例：</w:t>
      </w:r>
    </w:p>
    <w:p>
      <w:pPr>
        <w:rPr>
          <w:rFonts w:ascii="宋体" w:hAnsi="宋体"/>
          <w:sz w:val="18"/>
          <w:szCs w:val="18"/>
        </w:rPr>
      </w:pPr>
      <w:r>
        <w:rPr>
          <w:rFonts w:hint="eastAsia" w:ascii="宋体" w:hAnsi="宋体"/>
          <w:b/>
          <w:bCs/>
          <w:sz w:val="18"/>
          <w:szCs w:val="18"/>
          <w:u w:val="single"/>
        </w:rPr>
        <w:t>假如投资者以10万元本金认购本产品，最不利情形下，投资者可获得的本理财产品的本金及收益为0，即10万元本金及收益全部损失。</w:t>
      </w:r>
    </w:p>
    <w:p>
      <w:pPr>
        <w:rPr>
          <w:rFonts w:ascii="宋体" w:hAnsi="宋体"/>
          <w:b/>
          <w:sz w:val="18"/>
          <w:szCs w:val="18"/>
        </w:rPr>
      </w:pPr>
      <w:r>
        <w:rPr>
          <w:rFonts w:hint="eastAsia" w:ascii="宋体" w:hAnsi="宋体"/>
          <w:sz w:val="18"/>
          <w:szCs w:val="18"/>
        </w:rPr>
        <w:t>本《风险揭示书》所揭示事项仅为列举性质，未能详尽列明投资者参与本理财产品所面临的全部风险和可能导致投资者资产损失的所有因素。您在做出投资决定、签署理财产品协议之前应</w:t>
      </w:r>
      <w:r>
        <w:rPr>
          <w:rFonts w:hint="eastAsia" w:ascii="宋体" w:hAnsi="宋体"/>
          <w:b/>
          <w:sz w:val="18"/>
          <w:szCs w:val="18"/>
        </w:rPr>
        <w:t>认真阅读理财产品协议、对应的产品说明书、风险揭示专页、投资者权益须知专页中全部条款与内容</w:t>
      </w:r>
      <w:r>
        <w:rPr>
          <w:rFonts w:hint="eastAsia" w:ascii="宋体" w:hAnsi="宋体"/>
          <w:sz w:val="18"/>
          <w:szCs w:val="18"/>
        </w:rPr>
        <w:t>，并</w:t>
      </w:r>
      <w:r>
        <w:rPr>
          <w:rFonts w:hint="eastAsia" w:ascii="宋体" w:hAnsi="宋体"/>
          <w:b/>
          <w:sz w:val="18"/>
          <w:szCs w:val="18"/>
        </w:rPr>
        <w:t>了解相关本产品的基本情况和投资风险与收益状况</w:t>
      </w:r>
      <w:r>
        <w:rPr>
          <w:rFonts w:hint="eastAsia" w:ascii="宋体" w:hAnsi="宋体"/>
          <w:sz w:val="18"/>
          <w:szCs w:val="18"/>
        </w:rPr>
        <w:t>，如有任何疑问即应向常熟农商银行或其他权威机构进行咨询、查询、查阅有关资料及寻求解释。您应仅在确认您具有识别及承担相关风险的能力、确认已从常熟农商银行获得令您满意的信息披露及充分而必要的风险揭示，确认拟进行的产品交易完全符合您本身从事该交易的目的之后，才可继续进行购买交易。</w:t>
      </w:r>
      <w:r>
        <w:rPr>
          <w:rFonts w:hint="eastAsia" w:ascii="宋体" w:hAnsi="宋体"/>
          <w:b/>
          <w:sz w:val="18"/>
          <w:szCs w:val="18"/>
        </w:rPr>
        <w:t>如影响您风险承受能力的因素发生变化，请及时完成风险承受能力评估。</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u w:val="single"/>
        </w:rPr>
      </w:pPr>
      <w:r>
        <w:rPr>
          <w:rFonts w:hint="eastAsia" w:ascii="宋体" w:hAnsi="宋体"/>
          <w:b/>
          <w:i/>
          <w:sz w:val="24"/>
          <w:szCs w:val="24"/>
          <w:u w:val="single"/>
        </w:rPr>
        <w:t>特别提示：</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rPr>
      </w:pPr>
      <w:r>
        <w:rPr>
          <w:rFonts w:hint="eastAsia" w:ascii="宋体" w:hAnsi="宋体"/>
          <w:b/>
          <w:i/>
          <w:sz w:val="24"/>
          <w:szCs w:val="24"/>
        </w:rPr>
        <w:t>理财非存款、产品有风险、投资需谨慎。</w:t>
      </w:r>
    </w:p>
    <w:p>
      <w:pPr>
        <w:pStyle w:val="7"/>
        <w:pBdr>
          <w:top w:val="single" w:color="auto" w:sz="4" w:space="1"/>
          <w:left w:val="single" w:color="auto" w:sz="4" w:space="4"/>
          <w:bottom w:val="single" w:color="auto" w:sz="4" w:space="1"/>
          <w:right w:val="single" w:color="auto" w:sz="4" w:space="4"/>
        </w:pBdr>
        <w:ind w:left="0" w:leftChars="0"/>
        <w:rPr>
          <w:rFonts w:ascii="宋体" w:hAnsi="宋体"/>
          <w:b/>
          <w:i/>
          <w:sz w:val="24"/>
          <w:szCs w:val="24"/>
        </w:rPr>
      </w:pPr>
      <w:r>
        <w:rPr>
          <w:rFonts w:hint="eastAsia" w:ascii="宋体" w:hAnsi="宋体"/>
          <w:b/>
          <w:i/>
          <w:sz w:val="24"/>
          <w:szCs w:val="24"/>
        </w:rPr>
        <w:t>理财产品过往业绩不代表其未来表现，不等于理财产品实际收益，投资须谨慎。</w:t>
      </w:r>
    </w:p>
    <w:p>
      <w:pPr>
        <w:ind w:firstLine="360" w:firstLineChars="200"/>
        <w:rPr>
          <w:rFonts w:ascii="宋体" w:hAnsi="宋体"/>
          <w:sz w:val="18"/>
          <w:szCs w:val="18"/>
          <w:u w:val="single"/>
        </w:rPr>
      </w:pPr>
      <w:r>
        <w:rPr>
          <w:rFonts w:ascii="宋体" w:hAnsi="宋体"/>
          <w:sz w:val="18"/>
          <w:szCs w:val="18"/>
          <w:u w:val="single"/>
        </w:rPr>
        <w:t xml:space="preserve">    </w:t>
      </w:r>
      <w:r>
        <w:rPr>
          <w:rFonts w:hint="eastAsia" w:ascii="宋体" w:hAnsi="宋体"/>
          <w:sz w:val="18"/>
          <w:szCs w:val="18"/>
          <w:u w:val="single"/>
        </w:rPr>
        <w:t xml:space="preserve">                                                                                    </w:t>
      </w:r>
    </w:p>
    <w:p>
      <w:pPr>
        <w:jc w:val="center"/>
        <w:rPr>
          <w:rFonts w:ascii="宋体" w:hAnsi="宋体"/>
          <w:b/>
          <w:sz w:val="18"/>
          <w:szCs w:val="18"/>
        </w:rPr>
      </w:pPr>
      <w:r>
        <w:rPr>
          <w:rFonts w:hint="eastAsia" w:ascii="宋体" w:hAnsi="宋体"/>
          <w:b/>
          <w:sz w:val="18"/>
          <w:szCs w:val="18"/>
        </w:rPr>
        <w:t>投资者确认栏</w:t>
      </w:r>
    </w:p>
    <w:p>
      <w:pPr>
        <w:adjustRightInd w:val="0"/>
        <w:ind w:firstLine="270" w:firstLineChars="150"/>
        <w:rPr>
          <w:rFonts w:ascii="宋体" w:hAnsi="宋体" w:cs="宋体"/>
          <w:kern w:val="0"/>
          <w:sz w:val="18"/>
          <w:szCs w:val="18"/>
        </w:rPr>
      </w:pPr>
      <w:r>
        <w:rPr>
          <w:rFonts w:hint="eastAsia" w:ascii="宋体" w:hAnsi="宋体" w:cs="宋体"/>
          <w:kern w:val="0"/>
          <w:sz w:val="18"/>
          <w:szCs w:val="18"/>
        </w:rPr>
        <w:t xml:space="preserve">本人确认如下： </w:t>
      </w:r>
    </w:p>
    <w:p>
      <w:pPr>
        <w:adjustRightInd w:val="0"/>
        <w:ind w:firstLine="360" w:firstLineChars="200"/>
        <w:rPr>
          <w:rFonts w:ascii="宋体" w:hAnsi="宋体"/>
          <w:sz w:val="18"/>
          <w:szCs w:val="18"/>
        </w:rPr>
      </w:pPr>
      <w:r>
        <w:rPr>
          <w:rFonts w:hint="eastAsia" w:ascii="宋体" w:hAnsi="宋体"/>
          <w:sz w:val="18"/>
          <w:szCs w:val="18"/>
        </w:rPr>
        <w:t>本人的风险承受能力评级为：</w:t>
      </w:r>
    </w:p>
    <w:p>
      <w:pPr>
        <w:adjustRightInd w:val="0"/>
        <w:ind w:firstLine="360" w:firstLineChars="200"/>
        <w:rPr>
          <w:rFonts w:ascii="宋体" w:hAnsi="宋体"/>
          <w:sz w:val="18"/>
          <w:szCs w:val="18"/>
        </w:rPr>
      </w:pPr>
      <w:r>
        <w:rPr>
          <w:rFonts w:hint="eastAsia" w:ascii="宋体" w:hAnsi="宋体"/>
          <w:sz w:val="18"/>
          <w:szCs w:val="18"/>
        </w:rPr>
        <w:t>□保守型（一级）    □谨慎型（二级）   □稳健型（三级）   □进取型（四级）   □积极进取型（五级）。</w:t>
      </w:r>
    </w:p>
    <w:p>
      <w:pPr>
        <w:ind w:firstLine="361" w:firstLineChars="200"/>
        <w:rPr>
          <w:rFonts w:ascii="宋体" w:hAnsi="宋体"/>
          <w:sz w:val="18"/>
          <w:szCs w:val="18"/>
        </w:rPr>
      </w:pPr>
      <w:r>
        <w:rPr>
          <w:rFonts w:hint="eastAsia" w:ascii="宋体" w:hAnsi="宋体"/>
          <w:b/>
          <w:bCs/>
          <w:sz w:val="18"/>
          <w:szCs w:val="18"/>
        </w:rPr>
        <w:t>投资决策完全是由本人独立、自主、谨慎做出的。本人已经阅读《理财产品协议书》、《投资者权益须知》、《风险揭示书》及《理财产品说明书》所有条款，并充分了解该产品可能存在的风险情况及最不利投资情形。本产品销售机构已提请本人特别注意以上文本约定的有关免除或减轻银行责任，和银行单方面拥有某些权利，以及增加本人义务或限制本人权利等与本人有重大利害关系的条款，尤其是加粗、斜体、加框条款,并应本人要求进行了充分解释。</w:t>
      </w:r>
    </w:p>
    <w:p>
      <w:pPr>
        <w:spacing w:beforeLines="50"/>
        <w:ind w:firstLine="360" w:firstLineChars="200"/>
        <w:rPr>
          <w:rFonts w:ascii="宋体" w:hAnsi="宋体"/>
          <w:sz w:val="18"/>
          <w:szCs w:val="18"/>
        </w:rPr>
      </w:pPr>
      <w:r>
        <w:rPr>
          <w:rFonts w:hint="eastAsia" w:ascii="宋体" w:hAnsi="宋体"/>
          <w:sz w:val="18"/>
          <w:szCs w:val="18"/>
        </w:rPr>
        <w:t>抄录：</w:t>
      </w:r>
      <w:r>
        <w:rPr>
          <w:rFonts w:hint="eastAsia" w:ascii="宋体" w:hAnsi="宋体"/>
          <w:b/>
          <w:bCs/>
          <w:sz w:val="18"/>
          <w:szCs w:val="18"/>
        </w:rPr>
        <w:t>本人已阅读风险揭示，愿意承担投资风险。（电子渠道以点击确认为准，柜面渠道以手写抄录签名为准）</w:t>
      </w:r>
    </w:p>
    <w:p>
      <w:pPr>
        <w:ind w:firstLine="360" w:firstLineChars="200"/>
        <w:rPr>
          <w:rFonts w:ascii="宋体" w:hAnsi="宋体"/>
          <w:sz w:val="18"/>
          <w:szCs w:val="18"/>
          <w:u w:val="single"/>
        </w:rPr>
      </w:pP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p>
    <w:p>
      <w:pPr>
        <w:ind w:firstLine="360" w:firstLineChars="200"/>
        <w:rPr>
          <w:rFonts w:ascii="宋体" w:hAnsi="宋体"/>
          <w:sz w:val="18"/>
          <w:szCs w:val="18"/>
        </w:rPr>
      </w:pPr>
      <w:r>
        <w:rPr>
          <w:rFonts w:hint="eastAsia" w:ascii="宋体" w:hAnsi="宋体"/>
          <w:sz w:val="18"/>
          <w:szCs w:val="18"/>
        </w:rPr>
        <w:t>个人投资者（</w:t>
      </w:r>
      <w:r>
        <w:rPr>
          <w:rFonts w:hint="eastAsia" w:ascii="宋体" w:hAnsi="宋体"/>
          <w:sz w:val="18"/>
          <w:szCs w:val="18"/>
          <w:lang w:eastAsia="zh-CN"/>
        </w:rPr>
        <w:t>签名或按指印</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 xml:space="preserve">    机构投资者（</w:t>
      </w:r>
      <w:r>
        <w:rPr>
          <w:rFonts w:hint="eastAsia" w:ascii="宋体" w:hAnsi="宋体"/>
          <w:sz w:val="18"/>
          <w:szCs w:val="18"/>
          <w:lang w:eastAsia="zh-CN"/>
        </w:rPr>
        <w:t>预留印鉴</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u w:val="single"/>
          <w:lang w:val="en-US" w:eastAsia="zh-CN"/>
        </w:rPr>
        <w:t xml:space="preserve">         </w:t>
      </w:r>
      <w:r>
        <w:rPr>
          <w:rFonts w:hint="eastAsia" w:ascii="宋体" w:hAnsi="宋体"/>
          <w:sz w:val="18"/>
          <w:szCs w:val="18"/>
          <w:u w:val="single"/>
        </w:rPr>
        <w:t xml:space="preserve">               </w:t>
      </w:r>
      <w:r>
        <w:rPr>
          <w:rFonts w:hint="eastAsia" w:ascii="宋体" w:hAnsi="宋体"/>
          <w:sz w:val="18"/>
          <w:szCs w:val="18"/>
        </w:rPr>
        <w:t xml:space="preserve">  </w:t>
      </w:r>
      <w:r>
        <w:rPr>
          <w:rFonts w:ascii="宋体" w:hAnsi="宋体"/>
          <w:sz w:val="18"/>
          <w:szCs w:val="18"/>
          <w:u w:val="single"/>
        </w:rPr>
        <w:t xml:space="preserve"> </w:t>
      </w:r>
    </w:p>
    <w:p>
      <w:pPr>
        <w:jc w:val="right"/>
        <w:rPr>
          <w:rFonts w:ascii="宋体" w:hAnsi="宋体"/>
          <w:b/>
          <w:bCs/>
          <w:sz w:val="28"/>
          <w:szCs w:val="18"/>
        </w:rPr>
      </w:pPr>
      <w:r>
        <w:rPr>
          <w:rFonts w:hint="eastAsia" w:ascii="宋体" w:hAnsi="宋体"/>
          <w:sz w:val="18"/>
          <w:szCs w:val="18"/>
        </w:rPr>
        <w:t>年    月    日</w:t>
      </w:r>
    </w:p>
    <w:p>
      <w:pPr>
        <w:jc w:val="center"/>
        <w:rPr>
          <w:rFonts w:ascii="宋体" w:hAnsi="宋体"/>
          <w:b/>
          <w:sz w:val="28"/>
          <w:szCs w:val="28"/>
        </w:rPr>
      </w:pPr>
      <w:r>
        <w:rPr>
          <w:rFonts w:hint="eastAsia" w:ascii="宋体" w:hAnsi="宋体"/>
          <w:b/>
          <w:sz w:val="28"/>
          <w:szCs w:val="28"/>
        </w:rPr>
        <w:t>投资者权益须知</w:t>
      </w:r>
    </w:p>
    <w:p>
      <w:pPr>
        <w:rPr>
          <w:rFonts w:ascii="宋体" w:hAnsi="宋体"/>
          <w:b/>
          <w:sz w:val="18"/>
          <w:szCs w:val="18"/>
        </w:rPr>
      </w:pPr>
      <w:r>
        <w:rPr>
          <w:rFonts w:hint="eastAsia" w:ascii="宋体" w:hAnsi="宋体"/>
          <w:b/>
          <w:sz w:val="18"/>
          <w:szCs w:val="18"/>
        </w:rPr>
        <w:t>一、投资者购买理财产品的流程：</w:t>
      </w:r>
    </w:p>
    <w:p>
      <w:pPr>
        <w:rPr>
          <w:rFonts w:ascii="宋体" w:hAnsi="宋体"/>
          <w:b/>
          <w:sz w:val="18"/>
          <w:szCs w:val="18"/>
        </w:rPr>
      </w:pPr>
      <w:r>
        <w:rPr>
          <w:rFonts w:ascii="Calibri" w:hAnsi="Calibri" w:eastAsia="宋体" w:cs="Calibri"/>
          <w:kern w:val="2"/>
          <w:sz w:val="21"/>
          <w:szCs w:val="21"/>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274320</wp:posOffset>
                </wp:positionV>
                <wp:extent cx="4575175" cy="1781810"/>
                <wp:effectExtent l="4445" t="5080" r="0" b="22860"/>
                <wp:wrapTopAndBottom/>
                <wp:docPr id="17" name="组合 1"/>
                <wp:cNvGraphicFramePr/>
                <a:graphic xmlns:a="http://schemas.openxmlformats.org/drawingml/2006/main">
                  <a:graphicData uri="http://schemas.microsoft.com/office/word/2010/wordprocessingGroup">
                    <wpg:wgp>
                      <wpg:cNvGrpSpPr/>
                      <wpg:grpSpPr>
                        <a:xfrm>
                          <a:off x="0" y="0"/>
                          <a:ext cx="4575175" cy="1781810"/>
                          <a:chOff x="0" y="0"/>
                          <a:chExt cx="7205" cy="2806"/>
                        </a:xfrm>
                      </wpg:grpSpPr>
                      <wps:wsp>
                        <wps:cNvPr id="2" name="矩形 20"/>
                        <wps:cNvSpPr/>
                        <wps:spPr>
                          <a:xfrm>
                            <a:off x="0" y="0"/>
                            <a:ext cx="7205" cy="2806"/>
                          </a:xfrm>
                          <a:prstGeom prst="rect">
                            <a:avLst/>
                          </a:prstGeom>
                          <a:noFill/>
                          <a:ln>
                            <a:noFill/>
                          </a:ln>
                        </wps:spPr>
                        <wps:bodyPr upright="1"/>
                      </wps:wsp>
                      <wpg:grpSp>
                        <wpg:cNvPr id="16" name="Group 4"/>
                        <wpg:cNvGrpSpPr/>
                        <wpg:grpSpPr>
                          <a:xfrm>
                            <a:off x="0" y="0"/>
                            <a:ext cx="6617" cy="2806"/>
                            <a:chOff x="0" y="0"/>
                            <a:chExt cx="6617" cy="2806"/>
                          </a:xfrm>
                        </wpg:grpSpPr>
                        <wps:wsp>
                          <wps:cNvPr id="3" name="自选图形 22"/>
                          <wps:cNvSpPr/>
                          <wps:spPr>
                            <a:xfrm>
                              <a:off x="588" y="255"/>
                              <a:ext cx="442" cy="257"/>
                            </a:xfrm>
                            <a:prstGeom prst="rightArrow">
                              <a:avLst>
                                <a:gd name="adj1" fmla="val 50000"/>
                                <a:gd name="adj2" fmla="val 42972"/>
                              </a:avLst>
                            </a:prstGeom>
                            <a:solidFill>
                              <a:srgbClr val="FFFFFF"/>
                            </a:solidFill>
                            <a:ln w="9525" cap="flat" cmpd="sng">
                              <a:solidFill>
                                <a:srgbClr val="000000"/>
                              </a:solidFill>
                              <a:prstDash val="solid"/>
                              <a:miter/>
                              <a:headEnd type="none" w="med" len="med"/>
                              <a:tailEnd type="none" w="med" len="med"/>
                            </a:ln>
                          </wps:spPr>
                          <wps:bodyPr upright="1"/>
                        </wps:wsp>
                        <wps:wsp>
                          <wps:cNvPr id="4" name="矩形 23"/>
                          <wps:cNvSpPr/>
                          <wps:spPr>
                            <a:xfrm>
                              <a:off x="1029" y="0"/>
                              <a:ext cx="58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银行营业网点柜面</w:t>
                                </w:r>
                              </w:p>
                            </w:txbxContent>
                          </wps:txbx>
                          <wps:bodyPr upright="1"/>
                        </wps:wsp>
                        <wps:wsp>
                          <wps:cNvPr id="5" name="自选图形 24"/>
                          <wps:cNvSpPr/>
                          <wps:spPr>
                            <a:xfrm>
                              <a:off x="1617" y="255"/>
                              <a:ext cx="442" cy="257"/>
                            </a:xfrm>
                            <a:prstGeom prst="rightArrow">
                              <a:avLst>
                                <a:gd name="adj1" fmla="val 50000"/>
                                <a:gd name="adj2" fmla="val 42972"/>
                              </a:avLst>
                            </a:prstGeom>
                            <a:solidFill>
                              <a:srgbClr val="FFFFFF"/>
                            </a:solidFill>
                            <a:ln w="9525" cap="flat" cmpd="sng">
                              <a:solidFill>
                                <a:srgbClr val="000000"/>
                              </a:solidFill>
                              <a:prstDash val="solid"/>
                              <a:miter/>
                              <a:headEnd type="none" w="med" len="med"/>
                              <a:tailEnd type="none" w="med" len="med"/>
                            </a:ln>
                          </wps:spPr>
                          <wps:bodyPr upright="1"/>
                        </wps:wsp>
                        <wps:wsp>
                          <wps:cNvPr id="6" name="矩形 25"/>
                          <wps:cNvSpPr/>
                          <wps:spPr>
                            <a:xfrm>
                              <a:off x="2059" y="0"/>
                              <a:ext cx="1028"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在银行员工指点下，进行风险承受能力测评（首次）</w:t>
                                </w:r>
                              </w:p>
                            </w:txbxContent>
                          </wps:txbx>
                          <wps:bodyPr upright="1"/>
                        </wps:wsp>
                        <wps:wsp>
                          <wps:cNvPr id="7" name="自选图形 26"/>
                          <wps:cNvSpPr/>
                          <wps:spPr>
                            <a:xfrm>
                              <a:off x="3088" y="255"/>
                              <a:ext cx="441" cy="257"/>
                            </a:xfrm>
                            <a:prstGeom prst="rightArrow">
                              <a:avLst>
                                <a:gd name="adj1" fmla="val 50000"/>
                                <a:gd name="adj2" fmla="val 42867"/>
                              </a:avLst>
                            </a:prstGeom>
                            <a:solidFill>
                              <a:srgbClr val="FFFFFF"/>
                            </a:solidFill>
                            <a:ln w="9525" cap="flat" cmpd="sng">
                              <a:solidFill>
                                <a:srgbClr val="000000"/>
                              </a:solidFill>
                              <a:prstDash val="solid"/>
                              <a:miter/>
                              <a:headEnd type="none" w="med" len="med"/>
                              <a:tailEnd type="none" w="med" len="med"/>
                            </a:ln>
                          </wps:spPr>
                          <wps:bodyPr upright="1"/>
                        </wps:wsp>
                        <wps:wsp>
                          <wps:cNvPr id="8" name="矩形 27"/>
                          <wps:cNvSpPr/>
                          <wps:spPr>
                            <a:xfrm>
                              <a:off x="3529" y="0"/>
                              <a:ext cx="1176"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结合自己的风险承受能力和产品属性，选择合适的产品</w:t>
                                </w:r>
                              </w:p>
                            </w:txbxContent>
                          </wps:txbx>
                          <wps:bodyPr upright="1"/>
                        </wps:wsp>
                        <wps:wsp>
                          <wps:cNvPr id="9" name="自选图形 28"/>
                          <wps:cNvSpPr/>
                          <wps:spPr>
                            <a:xfrm>
                              <a:off x="5881" y="1019"/>
                              <a:ext cx="148" cy="766"/>
                            </a:xfrm>
                            <a:prstGeom prst="downArrow">
                              <a:avLst>
                                <a:gd name="adj1" fmla="val 50000"/>
                                <a:gd name="adj2" fmla="val 129320"/>
                              </a:avLst>
                            </a:prstGeom>
                            <a:solidFill>
                              <a:srgbClr val="FFFFFF"/>
                            </a:solidFill>
                            <a:ln w="9525" cap="flat" cmpd="sng">
                              <a:solidFill>
                                <a:srgbClr val="000000"/>
                              </a:solidFill>
                              <a:prstDash val="solid"/>
                              <a:miter/>
                              <a:headEnd type="none" w="med" len="med"/>
                              <a:tailEnd type="none" w="med" len="med"/>
                            </a:ln>
                          </wps:spPr>
                          <wps:bodyPr upright="1"/>
                        </wps:wsp>
                        <wps:wsp>
                          <wps:cNvPr id="10" name="矩形 29"/>
                          <wps:cNvSpPr/>
                          <wps:spPr>
                            <a:xfrm>
                              <a:off x="5146" y="0"/>
                              <a:ext cx="1471" cy="10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仔细阅读产品说明书、投资者权益须知、风险揭示书，了解产品风险属性及特点。</w:t>
                                </w:r>
                              </w:p>
                            </w:txbxContent>
                          </wps:txbx>
                          <wps:bodyPr upright="1"/>
                        </wps:wsp>
                        <wps:wsp>
                          <wps:cNvPr id="11" name="自选图形 30"/>
                          <wps:cNvSpPr/>
                          <wps:spPr>
                            <a:xfrm>
                              <a:off x="4705" y="2040"/>
                              <a:ext cx="440" cy="257"/>
                            </a:xfrm>
                            <a:prstGeom prst="leftArrow">
                              <a:avLst>
                                <a:gd name="adj1" fmla="val 50000"/>
                                <a:gd name="adj2" fmla="val 42777"/>
                              </a:avLst>
                            </a:prstGeom>
                            <a:solidFill>
                              <a:srgbClr val="FFFFFF"/>
                            </a:solidFill>
                            <a:ln w="9525" cap="flat" cmpd="sng">
                              <a:solidFill>
                                <a:srgbClr val="000000"/>
                              </a:solidFill>
                              <a:prstDash val="solid"/>
                              <a:miter/>
                              <a:headEnd type="none" w="med" len="med"/>
                              <a:tailEnd type="none" w="med" len="med"/>
                            </a:ln>
                          </wps:spPr>
                          <wps:bodyPr upright="1"/>
                        </wps:wsp>
                        <wps:wsp>
                          <wps:cNvPr id="12" name="矩形 31"/>
                          <wps:cNvSpPr/>
                          <wps:spPr>
                            <a:xfrm>
                              <a:off x="5146" y="1785"/>
                              <a:ext cx="1470"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填写风险承受能力评级、抄录风险提示，签署理财协议等销售文件。</w:t>
                                </w:r>
                              </w:p>
                            </w:txbxContent>
                          </wps:txbx>
                          <wps:bodyPr upright="1"/>
                        </wps:wsp>
                        <wps:wsp>
                          <wps:cNvPr id="13" name="矩形 32"/>
                          <wps:cNvSpPr/>
                          <wps:spPr>
                            <a:xfrm>
                              <a:off x="3235" y="1785"/>
                              <a:ext cx="1469" cy="102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rPr>
                                    <w:sz w:val="13"/>
                                    <w:szCs w:val="13"/>
                                  </w:rPr>
                                </w:pPr>
                                <w:r>
                                  <w:rPr>
                                    <w:rFonts w:hint="eastAsia" w:cs="宋体"/>
                                    <w:sz w:val="13"/>
                                    <w:szCs w:val="13"/>
                                  </w:rPr>
                                  <w:t>通过转账等方式支付投资款项，完成购买</w:t>
                                </w:r>
                              </w:p>
                            </w:txbxContent>
                          </wps:txbx>
                          <wps:bodyPr upright="1"/>
                        </wps:wsp>
                        <wps:wsp>
                          <wps:cNvPr id="14" name="矩形 33"/>
                          <wps:cNvSpPr/>
                          <wps:spPr>
                            <a:xfrm>
                              <a:off x="0" y="0"/>
                              <a:ext cx="589" cy="89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sz w:val="13"/>
                                    <w:szCs w:val="13"/>
                                  </w:rPr>
                                </w:pPr>
                              </w:p>
                              <w:p>
                                <w:pPr>
                                  <w:spacing w:line="160" w:lineRule="exact"/>
                                  <w:jc w:val="center"/>
                                  <w:rPr>
                                    <w:sz w:val="13"/>
                                    <w:szCs w:val="13"/>
                                  </w:rPr>
                                </w:pPr>
                                <w:r>
                                  <w:rPr>
                                    <w:rFonts w:hint="eastAsia" w:cs="宋体"/>
                                    <w:sz w:val="13"/>
                                    <w:szCs w:val="13"/>
                                  </w:rPr>
                                  <w:t>投资者</w:t>
                                </w:r>
                              </w:p>
                            </w:txbxContent>
                          </wps:txbx>
                          <wps:bodyPr upright="1"/>
                        </wps:wsp>
                        <wps:wsp>
                          <wps:cNvPr id="15" name="自选图形 34"/>
                          <wps:cNvSpPr/>
                          <wps:spPr>
                            <a:xfrm>
                              <a:off x="4705" y="255"/>
                              <a:ext cx="441" cy="256"/>
                            </a:xfrm>
                            <a:prstGeom prst="rightArrow">
                              <a:avLst>
                                <a:gd name="adj1" fmla="val 50000"/>
                                <a:gd name="adj2" fmla="val 43042"/>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anchor>
            </w:drawing>
          </mc:Choice>
          <mc:Fallback>
            <w:pict>
              <v:group id="组合 1" o:spid="_x0000_s1026" o:spt="203" style="position:absolute;left:0pt;margin-left:0pt;margin-top:21.6pt;height:140.3pt;width:360.25pt;mso-wrap-distance-bottom:0pt;mso-wrap-distance-top:0pt;z-index:251660288;mso-width-relative:page;mso-height-relative:page;" coordsize="7205,2806" o:gfxdata="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">
                <o:lock v:ext="edit" aspectratio="f"/>
                <v:rect id="矩形 20" o:spid="_x0000_s1026" o:spt="1" style="position:absolute;left:0;top:0;height:2806;width:7205;"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group id="Group 4" o:spid="_x0000_s1026" o:spt="203" style="position:absolute;left:0;top:0;height:2806;width:6617;" coordsize="6617,280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自选图形 22" o:spid="_x0000_s1026" o:spt="13" type="#_x0000_t13" style="position:absolute;left:588;top:255;height:257;width:442;" fillcolor="#FFFFFF" filled="t" stroked="t" coordsize="21600,21600" o:gfxdata="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HO5AAAA2gAA&#10;AA8AAAAAAAAAAQAgAAAAIgAAAGRycy9kb3ducmV2LnhtbFBLAQIUABQAAAAIAIdO4kAzLwWeOwAA&#10;ADkAAAAQAAAAAAAAAAEAIAAAAAgBAABkcnMvc2hhcGV4bWwueG1sUEsFBgAAAAAGAAYAWwEAALID&#10;AAAAAA==&#10;" adj="16204,5400">
                    <v:fill on="t" focussize="0,0"/>
                    <v:stroke color="#000000" joinstyle="miter"/>
                    <v:imagedata o:title=""/>
                    <o:lock v:ext="edit" aspectratio="f"/>
                  </v:shape>
                  <v:rect id="矩形 23" o:spid="_x0000_s1026" o:spt="1" style="position:absolute;left:1029;top:0;height:1019;width:588;"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银行营业网点柜面</w:t>
                          </w:r>
                        </w:p>
                      </w:txbxContent>
                    </v:textbox>
                  </v:rect>
                  <v:shape id="自选图形 24" o:spid="_x0000_s1026" o:spt="13" type="#_x0000_t13" style="position:absolute;left:1617;top:255;height:257;width:442;" fillcolor="#FFFFFF" filled="t" stroked="t" coordsize="21600,21600" o:gfxdata="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WrmctwAAANoAAAAP&#10;AAAAAAAAAAEAIAAAACIAAABkcnMvZG93bnJldi54bWxQSwECFAAUAAAACACHTuJAMy8FnjsAAAA5&#10;AAAAEAAAAAAAAAABACAAAAAGAQAAZHJzL3NoYXBleG1sLnhtbFBLBQYAAAAABgAGAFsBAACwAwAA&#10;AAA=&#10;" adj="16204,5400">
                    <v:fill on="t" focussize="0,0"/>
                    <v:stroke color="#000000" joinstyle="miter"/>
                    <v:imagedata o:title=""/>
                    <o:lock v:ext="edit" aspectratio="f"/>
                  </v:shape>
                  <v:rect id="矩形 25" o:spid="_x0000_s1026" o:spt="1" style="position:absolute;left:2059;top:0;height:1019;width:1028;"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在银行员工指点下，进行风险承受能力测评（首次）</w:t>
                          </w:r>
                        </w:p>
                      </w:txbxContent>
                    </v:textbox>
                  </v:rect>
                  <v:shape id="自选图形 26" o:spid="_x0000_s1026" o:spt="13" type="#_x0000_t13" style="position:absolute;left:3088;top:255;height:257;width:441;" fillcolor="#FFFFFF" filled="t" stroked="t" coordsize="21600,21600" o:gfxdata="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x2bsAAADa&#10;AAAADwAAAAAAAAABACAAAAAiAAAAZHJzL2Rvd25yZXYueG1sUEsBAhQAFAAAAAgAh07iQDMvBZ47&#10;AAAAOQAAABAAAAAAAAAAAQAgAAAACgEAAGRycy9zaGFwZXhtbC54bWxQSwUGAAAAAAYABgBbAQAA&#10;tAMAAAAA&#10;" adj="16205,5400">
                    <v:fill on="t" focussize="0,0"/>
                    <v:stroke color="#000000" joinstyle="miter"/>
                    <v:imagedata o:title=""/>
                    <o:lock v:ext="edit" aspectratio="f"/>
                  </v:shape>
                  <v:rect id="矩形 27" o:spid="_x0000_s1026" o:spt="1" style="position:absolute;left:3529;top:0;height:1019;width:1176;"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结合自己的风险承受能力和产品属性，选择合适的产品</w:t>
                          </w:r>
                        </w:p>
                      </w:txbxContent>
                    </v:textbox>
                  </v:rect>
                  <v:shape id="自选图形 28" o:spid="_x0000_s1026" o:spt="67" type="#_x0000_t67" style="position:absolute;left:5881;top:1019;height:766;width:148;" fillcolor="#FFFFFF" filled="t" stroked="t" coordsize="21600,21600" o:gfxdata="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MGfuvQAA&#10;ANoAAAAPAAAAAAAAAAEAIAAAACIAAABkcnMvZG93bnJldi54bWxQSwECFAAUAAAACACHTuJAMy8F&#10;njsAAAA5AAAAEAAAAAAAAAABACAAAAAMAQAAZHJzL3NoYXBleG1sLnhtbFBLBQYAAAAABgAGAFsB&#10;AAC2AwAAAAA=&#10;" adj="16204,5400">
                    <v:fill on="t" focussize="0,0"/>
                    <v:stroke color="#000000" joinstyle="miter"/>
                    <v:imagedata o:title=""/>
                    <o:lock v:ext="edit" aspectratio="f"/>
                  </v:shape>
                  <v:rect id="矩形 29" o:spid="_x0000_s1026" o:spt="1" style="position:absolute;left:5146;top:0;height:1019;width:147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仔细阅读产品说明书、投资者权益须知、风险揭示书，了解产品风险属性及特点。</w:t>
                          </w:r>
                        </w:p>
                      </w:txbxContent>
                    </v:textbox>
                  </v:rect>
                  <v:shape id="自选图形 30" o:spid="_x0000_s1026" o:spt="66" type="#_x0000_t66" style="position:absolute;left:4705;top:2040;height:257;width:440;" fillcolor="#FFFFFF" filled="t" stroked="t" coordsize="21600,21600" o:gfxdata="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T8s7sAAADb&#10;AAAADwAAAAAAAAABACAAAAAiAAAAZHJzL2Rvd25yZXYueG1sUEsBAhQAFAAAAAgAh07iQDMvBZ47&#10;AAAAOQAAABAAAAAAAAAAAQAgAAAACgEAAGRycy9zaGFwZXhtbC54bWxQSwUGAAAAAAYABgBbAQAA&#10;tAMAAAAA&#10;" adj="5396,5400">
                    <v:fill on="t" focussize="0,0"/>
                    <v:stroke color="#000000" joinstyle="miter"/>
                    <v:imagedata o:title=""/>
                    <o:lock v:ext="edit" aspectratio="f"/>
                  </v:shape>
                  <v:rect id="矩形 31" o:spid="_x0000_s1026" o:spt="1" style="position:absolute;left:5146;top:1785;height:1021;width:1470;"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填写风险承受能力评级、抄录风险提示，签署理财协议等销售文件。</w:t>
                          </w:r>
                        </w:p>
                      </w:txbxContent>
                    </v:textbox>
                  </v:rect>
                  <v:rect id="矩形 32" o:spid="_x0000_s1026" o:spt="1" style="position:absolute;left:3235;top:1785;height:1021;width:1469;"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rPr>
                              <w:sz w:val="13"/>
                              <w:szCs w:val="13"/>
                            </w:rPr>
                          </w:pPr>
                          <w:r>
                            <w:rPr>
                              <w:rFonts w:hint="eastAsia" w:cs="宋体"/>
                              <w:sz w:val="13"/>
                              <w:szCs w:val="13"/>
                            </w:rPr>
                            <w:t>通过转账等方式支付投资款项，完成购买</w:t>
                          </w:r>
                        </w:p>
                      </w:txbxContent>
                    </v:textbox>
                  </v:rect>
                  <v:rect id="矩形 33" o:spid="_x0000_s1026" o:spt="1" style="position:absolute;left:0;top:0;height:897;width:58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160" w:lineRule="exact"/>
                            <w:jc w:val="center"/>
                            <w:rPr>
                              <w:sz w:val="13"/>
                              <w:szCs w:val="13"/>
                            </w:rPr>
                          </w:pPr>
                        </w:p>
                        <w:p>
                          <w:pPr>
                            <w:spacing w:line="160" w:lineRule="exact"/>
                            <w:jc w:val="center"/>
                            <w:rPr>
                              <w:sz w:val="13"/>
                              <w:szCs w:val="13"/>
                            </w:rPr>
                          </w:pPr>
                          <w:r>
                            <w:rPr>
                              <w:rFonts w:hint="eastAsia" w:cs="宋体"/>
                              <w:sz w:val="13"/>
                              <w:szCs w:val="13"/>
                            </w:rPr>
                            <w:t>投资者</w:t>
                          </w:r>
                        </w:p>
                      </w:txbxContent>
                    </v:textbox>
                  </v:rect>
                  <v:shape id="自选图形 34" o:spid="_x0000_s1026" o:spt="13" type="#_x0000_t13" style="position:absolute;left:4705;top:255;height:256;width:441;" fillcolor="#FFFFFF" filled="t" stroked="t" coordsize="21600,21600" o:gfxdata="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CwB7sAAADb&#10;AAAADwAAAAAAAAABACAAAAAiAAAAZHJzL2Rvd25yZXYueG1sUEsBAhQAFAAAAAgAh07iQDMvBZ47&#10;AAAAOQAAABAAAAAAAAAAAQAgAAAACgEAAGRycy9zaGFwZXhtbC54bWxQSwUGAAAAAAYABgBbAQAA&#10;tAMAAAAA&#10;" adj="16204,5400">
                    <v:fill on="t" focussize="0,0"/>
                    <v:stroke color="#000000" joinstyle="miter"/>
                    <v:imagedata o:title=""/>
                    <o:lock v:ext="edit" aspectratio="f"/>
                  </v:shape>
                </v:group>
                <w10:wrap type="topAndBottom"/>
              </v:group>
            </w:pict>
          </mc:Fallback>
        </mc:AlternateContent>
      </w:r>
      <w:r>
        <w:rPr>
          <w:rFonts w:hint="eastAsia" w:ascii="宋体" w:hAnsi="宋体"/>
          <w:sz w:val="18"/>
          <w:szCs w:val="18"/>
        </w:rPr>
        <w:t>（一）投资者持购买理财产品所需材料至理财产品销售银行各营业网点办理。具体流程如下：</w:t>
      </w:r>
    </w:p>
    <w:p>
      <w:pPr>
        <w:rPr>
          <w:rFonts w:ascii="宋体" w:hAnsi="宋体"/>
          <w:sz w:val="18"/>
          <w:szCs w:val="18"/>
        </w:rPr>
      </w:pPr>
    </w:p>
    <w:p>
      <w:pPr>
        <w:rPr>
          <w:rFonts w:ascii="宋体" w:hAnsi="宋体"/>
          <w:sz w:val="18"/>
          <w:szCs w:val="18"/>
        </w:rPr>
      </w:pPr>
      <w:r>
        <w:rPr>
          <w:rFonts w:hint="eastAsia" w:ascii="宋体" w:hAnsi="宋体"/>
          <w:sz w:val="18"/>
          <w:szCs w:val="18"/>
        </w:rPr>
        <w:t>(二) 如投资者选择在理财产品销售银行的网上银行、手机银行、VTM等电子渠道购买理财产品，投资者需通过理财产品销售银行相关电子渠道仔细阅读理财产品合同，根据购买流程逐项点击确认进行购买。</w:t>
      </w:r>
    </w:p>
    <w:p>
      <w:pPr>
        <w:rPr>
          <w:rFonts w:ascii="宋体" w:hAnsi="宋体"/>
          <w:b/>
          <w:bCs/>
          <w:sz w:val="18"/>
          <w:szCs w:val="18"/>
        </w:rPr>
      </w:pPr>
      <w:r>
        <w:rPr>
          <w:rFonts w:hint="eastAsia" w:ascii="宋体" w:hAnsi="宋体"/>
          <w:b/>
          <w:bCs/>
          <w:sz w:val="18"/>
          <w:szCs w:val="18"/>
        </w:rPr>
        <w:t>二、投资者风险承受能力评估及产品风险评级说明</w:t>
      </w:r>
    </w:p>
    <w:p>
      <w:pPr>
        <w:rPr>
          <w:rFonts w:ascii="宋体" w:hAnsi="宋体"/>
          <w:sz w:val="18"/>
          <w:szCs w:val="18"/>
        </w:rPr>
      </w:pPr>
      <w:r>
        <w:rPr>
          <w:rFonts w:hint="eastAsia" w:ascii="宋体" w:hAnsi="宋体"/>
          <w:sz w:val="18"/>
          <w:szCs w:val="18"/>
        </w:rPr>
        <w:t>（一）投资者首次购买理财产品的，须进行风险承受能力评估，首次风险承受能力评估须在理财产品销售银行各营业网点进行；</w:t>
      </w:r>
    </w:p>
    <w:p>
      <w:pPr>
        <w:rPr>
          <w:rFonts w:ascii="宋体" w:hAnsi="宋体"/>
          <w:sz w:val="18"/>
          <w:szCs w:val="18"/>
        </w:rPr>
      </w:pPr>
      <w:r>
        <w:rPr>
          <w:rFonts w:hint="eastAsia" w:ascii="宋体" w:hAnsi="宋体"/>
          <w:sz w:val="18"/>
          <w:szCs w:val="18"/>
        </w:rPr>
        <w:t>（二）超过一年未进行风险承受能力评估，再次购买理财产品须在理财产品销售银行各营业网点或者通过理财产品销售银行网上银行完成风险承受能力评估。</w:t>
      </w:r>
    </w:p>
    <w:p>
      <w:r>
        <w:rPr>
          <w:rFonts w:hint="eastAsia" w:ascii="宋体" w:hAnsi="宋体"/>
          <w:sz w:val="18"/>
          <w:szCs w:val="18"/>
        </w:rPr>
        <w:t>（三）常熟农商银行根据产品风险收益特点等将理财产品风险评级分为一至五级五个等级，根据投资者风险承受能力评估评分将投资者分为保守型（一级）、谨慎型（二级）、稳健型（三级）、进取型（四级）、积极进取型（五级）五个等级（所对应的投资风险承受程度详见下表）。按照监管要求，投资者风险等级评级不低于产品风险评级时，方可购买该理财产品。</w:t>
      </w:r>
    </w:p>
    <w:p/>
    <w:p>
      <w:pPr>
        <w:rPr>
          <w:sz w:val="18"/>
          <w:szCs w:val="18"/>
        </w:rPr>
      </w:pPr>
      <w:r>
        <w:rPr>
          <w:rFonts w:hint="eastAsia"/>
          <w:sz w:val="18"/>
          <w:szCs w:val="18"/>
        </w:rPr>
        <w:t>产品风险评级及投资者风险承受能力等级说明：</w:t>
      </w:r>
    </w:p>
    <w:tbl>
      <w:tblPr>
        <w:tblStyle w:val="12"/>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4"/>
        <w:gridCol w:w="885"/>
        <w:gridCol w:w="3375"/>
        <w:gridCol w:w="3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112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风险标识</w:t>
            </w:r>
            <w:r>
              <w:rPr>
                <w:rFonts w:hint="eastAsia" w:ascii="仿宋_GB2312" w:hAnsi="...." w:eastAsia="仿宋_GB2312"/>
                <w:vanish/>
                <w:sz w:val="22"/>
                <w:szCs w:val="18"/>
              </w:rPr>
              <w:t>体情况风险品合同。若本产品说明书</w:t>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r>
              <w:rPr>
                <w:rFonts w:hint="eastAsia" w:ascii="仿宋_GB2312" w:hAnsi="...." w:eastAsia="仿宋_GB2312"/>
                <w:vanish/>
                <w:sz w:val="22"/>
                <w:szCs w:val="18"/>
              </w:rPr>
              <w:pgNum/>
            </w:r>
          </w:p>
        </w:tc>
        <w:tc>
          <w:tcPr>
            <w:tcW w:w="8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风险评级</w:t>
            </w:r>
          </w:p>
        </w:tc>
        <w:tc>
          <w:tcPr>
            <w:tcW w:w="337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评级说明</w:t>
            </w:r>
          </w:p>
        </w:tc>
        <w:tc>
          <w:tcPr>
            <w:tcW w:w="3775" w:type="dxa"/>
            <w:tcBorders>
              <w:top w:val="single" w:color="auto" w:sz="4" w:space="0"/>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适用投资者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11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一级</w:t>
            </w:r>
          </w:p>
        </w:tc>
        <w:tc>
          <w:tcPr>
            <w:tcW w:w="3375"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360" w:firstLineChars="200"/>
              <w:rPr>
                <w:rFonts w:ascii="宋体" w:hAnsi="宋体"/>
                <w:sz w:val="18"/>
                <w:szCs w:val="18"/>
              </w:rPr>
            </w:pPr>
            <w:r>
              <w:rPr>
                <w:rFonts w:hint="eastAsia" w:ascii="宋体" w:hAnsi="宋体" w:cs="宋体"/>
                <w:sz w:val="18"/>
                <w:szCs w:val="18"/>
              </w:rPr>
              <w:t>理财产品总体风险程度低，产品净值波动小，收益不能实现的概率小，本金出现损失的可能性小；或承诺本金保障且产品收益不确定性较小的结构性存款产品。</w:t>
            </w:r>
          </w:p>
        </w:tc>
        <w:tc>
          <w:tcPr>
            <w:tcW w:w="3775" w:type="dxa"/>
            <w:tcBorders>
              <w:top w:val="nil"/>
              <w:left w:val="nil"/>
              <w:bottom w:val="single" w:color="auto" w:sz="4" w:space="0"/>
              <w:right w:val="single" w:color="auto" w:sz="4" w:space="0"/>
            </w:tcBorders>
            <w:vAlign w:val="center"/>
          </w:tcPr>
          <w:p>
            <w:pPr>
              <w:ind w:firstLine="360" w:firstLineChars="200"/>
              <w:rPr>
                <w:rFonts w:ascii="宋体" w:hAnsi="宋体"/>
                <w:sz w:val="18"/>
                <w:szCs w:val="18"/>
              </w:rPr>
            </w:pPr>
            <w:r>
              <w:rPr>
                <w:rFonts w:hint="eastAsia" w:ascii="宋体" w:hAnsi="宋体"/>
                <w:sz w:val="18"/>
                <w:szCs w:val="18"/>
              </w:rPr>
              <w:t>风险承受能力一至五级投资者，即保守型的有投资经验和无投资经验的投资者、谨慎型的有投资经验和无投资经验的投资者、稳健型的有投资经验的投资者、进取型的有投资经验的投资者、积极进取型的有投资经验的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2" w:hRule="atLeast"/>
        </w:trPr>
        <w:tc>
          <w:tcPr>
            <w:tcW w:w="11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二级</w:t>
            </w:r>
          </w:p>
        </w:tc>
        <w:tc>
          <w:tcPr>
            <w:tcW w:w="3375"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360" w:firstLineChars="200"/>
              <w:rPr>
                <w:rFonts w:ascii="宋体" w:hAnsi="宋体"/>
                <w:sz w:val="18"/>
                <w:szCs w:val="18"/>
              </w:rPr>
            </w:pPr>
            <w:r>
              <w:rPr>
                <w:rFonts w:hint="eastAsia" w:ascii="宋体" w:hAnsi="宋体" w:cs="宋体"/>
                <w:sz w:val="18"/>
                <w:szCs w:val="18"/>
              </w:rPr>
              <w:t>理财产品总体风险程度较低，产品净值波动较小，收益不能实现的概率较小，本金出现损失可能性较小；或承诺本金保障但产品收益具有较大不确定性的结构性存款产品。</w:t>
            </w:r>
          </w:p>
        </w:tc>
        <w:tc>
          <w:tcPr>
            <w:tcW w:w="3775" w:type="dxa"/>
            <w:tcBorders>
              <w:top w:val="nil"/>
              <w:left w:val="nil"/>
              <w:bottom w:val="single" w:color="auto" w:sz="4" w:space="0"/>
              <w:right w:val="single" w:color="auto" w:sz="4" w:space="0"/>
            </w:tcBorders>
            <w:vAlign w:val="center"/>
          </w:tcPr>
          <w:p>
            <w:pPr>
              <w:ind w:firstLine="360" w:firstLineChars="200"/>
              <w:rPr>
                <w:rFonts w:ascii="宋体" w:hAnsi="宋体"/>
                <w:sz w:val="18"/>
                <w:szCs w:val="18"/>
              </w:rPr>
            </w:pPr>
            <w:r>
              <w:rPr>
                <w:rFonts w:hint="eastAsia" w:ascii="宋体" w:hAnsi="宋体"/>
                <w:sz w:val="18"/>
                <w:szCs w:val="18"/>
              </w:rPr>
              <w:t>风险承受能力二至五级投资者，即谨慎型的有投资经验和无投资经验的投资者、稳健型的有投资经验的投资者、进取型的有投资经验的投资者、积极进取型的有投资经验的投资者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11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三级</w:t>
            </w:r>
          </w:p>
        </w:tc>
        <w:tc>
          <w:tcPr>
            <w:tcW w:w="337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8"/>
              <w:widowControl/>
              <w:spacing w:before="0" w:beforeAutospacing="0" w:after="0" w:afterAutospacing="0" w:line="240" w:lineRule="auto"/>
              <w:ind w:firstLine="360" w:firstLineChars="200"/>
              <w:jc w:val="both"/>
              <w:rPr>
                <w:rFonts w:ascii="宋体" w:hAnsi="宋体"/>
                <w:b/>
                <w:sz w:val="18"/>
                <w:szCs w:val="18"/>
              </w:rPr>
            </w:pPr>
            <w:r>
              <w:rPr>
                <w:rFonts w:hint="eastAsia" w:ascii="宋体" w:hAnsi="宋体" w:cs="宋体"/>
                <w:kern w:val="2"/>
                <w:sz w:val="18"/>
                <w:szCs w:val="18"/>
              </w:rPr>
              <w:t>理财产品总体风险程度适中，产品净值波动不容忽视，产品本金和收益出现损失不能兑付的可能性不容忽视。</w:t>
            </w:r>
          </w:p>
        </w:tc>
        <w:tc>
          <w:tcPr>
            <w:tcW w:w="3775" w:type="dxa"/>
            <w:tcBorders>
              <w:top w:val="nil"/>
              <w:left w:val="nil"/>
              <w:bottom w:val="single" w:color="auto" w:sz="4" w:space="0"/>
              <w:right w:val="single" w:color="auto" w:sz="4" w:space="0"/>
            </w:tcBorders>
            <w:vAlign w:val="center"/>
          </w:tcPr>
          <w:p>
            <w:pPr>
              <w:ind w:firstLine="360" w:firstLineChars="200"/>
              <w:rPr>
                <w:rFonts w:ascii="宋体" w:hAnsi="宋体"/>
                <w:sz w:val="18"/>
                <w:szCs w:val="18"/>
              </w:rPr>
            </w:pPr>
            <w:r>
              <w:rPr>
                <w:rFonts w:hint="eastAsia" w:ascii="宋体" w:hAnsi="宋体"/>
                <w:sz w:val="18"/>
                <w:szCs w:val="18"/>
              </w:rPr>
              <w:t>风险承受能力三至五级投资者，即稳健型的有投资经验的投资者、进取型的有投资经验的投资者、积极进取型的有投资经验的投资者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8" w:hRule="atLeast"/>
        </w:trPr>
        <w:tc>
          <w:tcPr>
            <w:tcW w:w="11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四级</w:t>
            </w:r>
          </w:p>
        </w:tc>
        <w:tc>
          <w:tcPr>
            <w:tcW w:w="3375" w:type="dxa"/>
            <w:tcBorders>
              <w:top w:val="nil"/>
              <w:left w:val="nil"/>
              <w:bottom w:val="single" w:color="auto" w:sz="4" w:space="0"/>
              <w:right w:val="single" w:color="auto" w:sz="4" w:space="0"/>
            </w:tcBorders>
            <w:tcMar>
              <w:top w:w="15" w:type="dxa"/>
              <w:left w:w="15" w:type="dxa"/>
              <w:bottom w:w="0" w:type="dxa"/>
              <w:right w:w="15" w:type="dxa"/>
            </w:tcMar>
            <w:vAlign w:val="center"/>
          </w:tcPr>
          <w:p>
            <w:pPr>
              <w:pStyle w:val="8"/>
              <w:widowControl/>
              <w:spacing w:before="0" w:beforeAutospacing="0" w:after="0" w:afterAutospacing="0" w:line="240" w:lineRule="auto"/>
              <w:ind w:firstLine="360" w:firstLineChars="200"/>
              <w:jc w:val="both"/>
              <w:rPr>
                <w:rFonts w:ascii="宋体" w:hAnsi="宋体"/>
                <w:b/>
                <w:sz w:val="18"/>
                <w:szCs w:val="18"/>
              </w:rPr>
            </w:pPr>
            <w:r>
              <w:rPr>
                <w:rFonts w:hint="eastAsia" w:ascii="宋体" w:hAnsi="宋体" w:cs="宋体"/>
                <w:kern w:val="2"/>
                <w:sz w:val="18"/>
                <w:szCs w:val="18"/>
              </w:rPr>
              <w:t>理财产品总体风险程度较高，产品净值波动明显，产品本金出现损失的可能性较高。</w:t>
            </w:r>
          </w:p>
        </w:tc>
        <w:tc>
          <w:tcPr>
            <w:tcW w:w="3775" w:type="dxa"/>
            <w:tcBorders>
              <w:top w:val="nil"/>
              <w:left w:val="nil"/>
              <w:bottom w:val="single" w:color="auto" w:sz="4" w:space="0"/>
              <w:right w:val="single" w:color="auto" w:sz="4" w:space="0"/>
            </w:tcBorders>
            <w:vAlign w:val="center"/>
          </w:tcPr>
          <w:p>
            <w:pPr>
              <w:ind w:firstLine="360" w:firstLineChars="200"/>
              <w:rPr>
                <w:rFonts w:ascii="宋体" w:hAnsi="宋体"/>
                <w:sz w:val="18"/>
                <w:szCs w:val="18"/>
              </w:rPr>
            </w:pPr>
            <w:r>
              <w:rPr>
                <w:rFonts w:hint="eastAsia" w:ascii="宋体" w:hAnsi="宋体"/>
                <w:sz w:val="18"/>
                <w:szCs w:val="18"/>
              </w:rPr>
              <w:t>风险承受能力四至五级投资者，即进取型的有投资经验的投资者、积极进取型的有投资经验的投资者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0" w:hRule="atLeast"/>
        </w:trPr>
        <w:tc>
          <w:tcPr>
            <w:tcW w:w="1124"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w:t>
            </w:r>
          </w:p>
        </w:tc>
        <w:tc>
          <w:tcPr>
            <w:tcW w:w="8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五级</w:t>
            </w:r>
          </w:p>
        </w:tc>
        <w:tc>
          <w:tcPr>
            <w:tcW w:w="3375" w:type="dxa"/>
            <w:tcBorders>
              <w:top w:val="nil"/>
              <w:left w:val="nil"/>
              <w:bottom w:val="single" w:color="auto" w:sz="4" w:space="0"/>
              <w:right w:val="single" w:color="auto" w:sz="4" w:space="0"/>
            </w:tcBorders>
            <w:tcMar>
              <w:top w:w="15" w:type="dxa"/>
              <w:left w:w="15" w:type="dxa"/>
              <w:bottom w:w="0" w:type="dxa"/>
              <w:right w:w="15" w:type="dxa"/>
            </w:tcMar>
            <w:vAlign w:val="center"/>
          </w:tcPr>
          <w:p>
            <w:pPr>
              <w:ind w:firstLine="360" w:firstLineChars="200"/>
              <w:rPr>
                <w:rFonts w:ascii="宋体" w:hAnsi="宋体"/>
                <w:sz w:val="18"/>
                <w:szCs w:val="18"/>
              </w:rPr>
            </w:pPr>
            <w:r>
              <w:rPr>
                <w:rFonts w:hint="eastAsia" w:ascii="宋体" w:hAnsi="宋体" w:cs="宋体"/>
                <w:sz w:val="18"/>
                <w:szCs w:val="18"/>
              </w:rPr>
              <w:t>理财产品总体风险程度高，产品净值波动明显，产品本金出现损失的可能性高。</w:t>
            </w:r>
          </w:p>
        </w:tc>
        <w:tc>
          <w:tcPr>
            <w:tcW w:w="3775" w:type="dxa"/>
            <w:tcBorders>
              <w:top w:val="nil"/>
              <w:left w:val="nil"/>
              <w:bottom w:val="single" w:color="auto" w:sz="4" w:space="0"/>
              <w:right w:val="single" w:color="auto" w:sz="4" w:space="0"/>
            </w:tcBorders>
            <w:vAlign w:val="center"/>
          </w:tcPr>
          <w:p>
            <w:pPr>
              <w:ind w:firstLine="360" w:firstLineChars="200"/>
              <w:rPr>
                <w:rFonts w:ascii="宋体" w:hAnsi="宋体"/>
                <w:sz w:val="18"/>
                <w:szCs w:val="18"/>
              </w:rPr>
            </w:pPr>
            <w:r>
              <w:rPr>
                <w:rFonts w:hint="eastAsia" w:ascii="宋体" w:hAnsi="宋体"/>
                <w:sz w:val="18"/>
                <w:szCs w:val="18"/>
              </w:rPr>
              <w:t>风险承受能力五级投资者，即积极进取型的有投资经验的投资者</w:t>
            </w:r>
          </w:p>
        </w:tc>
      </w:tr>
    </w:tbl>
    <w:p>
      <w:pPr>
        <w:rPr>
          <w:rFonts w:ascii="宋体" w:hAnsi="宋体"/>
          <w:b/>
          <w:sz w:val="18"/>
          <w:szCs w:val="18"/>
        </w:rPr>
      </w:pPr>
    </w:p>
    <w:p>
      <w:pPr>
        <w:rPr>
          <w:rFonts w:ascii="宋体" w:hAnsi="宋体"/>
          <w:b/>
          <w:sz w:val="18"/>
          <w:szCs w:val="18"/>
        </w:rPr>
      </w:pPr>
      <w:r>
        <w:rPr>
          <w:rFonts w:hint="eastAsia" w:ascii="宋体" w:hAnsi="宋体"/>
          <w:b/>
          <w:sz w:val="18"/>
          <w:szCs w:val="18"/>
        </w:rPr>
        <w:t>三、信息披露</w:t>
      </w:r>
    </w:p>
    <w:p>
      <w:pPr>
        <w:ind w:firstLine="360" w:firstLineChars="200"/>
        <w:jc w:val="left"/>
        <w:rPr>
          <w:rFonts w:ascii="宋体" w:hAnsi="宋体" w:cs="宋体"/>
          <w:kern w:val="0"/>
          <w:sz w:val="18"/>
          <w:szCs w:val="18"/>
        </w:rPr>
      </w:pPr>
      <w:r>
        <w:rPr>
          <w:rFonts w:hint="eastAsia" w:ascii="宋体" w:hAnsi="宋体" w:cs="宋体"/>
          <w:kern w:val="0"/>
          <w:sz w:val="18"/>
          <w:szCs w:val="18"/>
        </w:rPr>
        <w:t>1、产品管理人将按照本理财产品产品说明书的约定，进行信息披露。</w:t>
      </w:r>
    </w:p>
    <w:p>
      <w:pPr>
        <w:ind w:firstLine="360" w:firstLineChars="200"/>
        <w:jc w:val="left"/>
        <w:rPr>
          <w:rFonts w:ascii="宋体" w:hAnsi="宋体" w:cs="宋体"/>
          <w:kern w:val="0"/>
          <w:sz w:val="18"/>
          <w:szCs w:val="18"/>
        </w:rPr>
      </w:pPr>
      <w:r>
        <w:rPr>
          <w:rFonts w:hint="eastAsia" w:ascii="宋体" w:hAnsi="宋体" w:cs="宋体"/>
          <w:kern w:val="0"/>
          <w:sz w:val="18"/>
          <w:szCs w:val="18"/>
        </w:rPr>
        <w:t>产品管理人在有关披露事项的报告或通知制作完毕后，</w:t>
      </w:r>
      <w:r>
        <w:rPr>
          <w:rFonts w:hint="eastAsia" w:ascii="宋体" w:hAnsi="宋体" w:cs="宋体"/>
          <w:b/>
          <w:bCs/>
          <w:kern w:val="0"/>
          <w:sz w:val="18"/>
          <w:szCs w:val="18"/>
        </w:rPr>
        <w:t>可视情况选择以下一种或多种方式报告给投资者</w:t>
      </w:r>
      <w:r>
        <w:rPr>
          <w:rFonts w:hint="eastAsia" w:ascii="宋体" w:hAnsi="宋体" w:cs="宋体"/>
          <w:kern w:val="0"/>
          <w:sz w:val="18"/>
          <w:szCs w:val="18"/>
        </w:rPr>
        <w:t>：产品管理人</w:t>
      </w:r>
      <w:r>
        <w:rPr>
          <w:rFonts w:hint="eastAsia" w:ascii="宋体" w:hAnsi="宋体" w:cs="宋体"/>
          <w:b/>
          <w:bCs/>
          <w:kern w:val="0"/>
          <w:sz w:val="18"/>
          <w:szCs w:val="18"/>
        </w:rPr>
        <w:t>官方网站（www.csrcbank.com）、营业网点、手机银行、网上银行、电子邮件、电话、以信函形式邮寄、手机短信等。</w:t>
      </w:r>
    </w:p>
    <w:p>
      <w:pPr>
        <w:ind w:firstLine="360" w:firstLineChars="200"/>
        <w:jc w:val="left"/>
        <w:rPr>
          <w:rFonts w:ascii="宋体" w:hAnsi="宋体" w:cs="宋体"/>
          <w:kern w:val="0"/>
          <w:sz w:val="18"/>
          <w:szCs w:val="18"/>
        </w:rPr>
      </w:pPr>
      <w:r>
        <w:rPr>
          <w:rFonts w:hint="eastAsia" w:ascii="宋体" w:hAnsi="宋体" w:cs="宋体"/>
          <w:kern w:val="0"/>
          <w:sz w:val="18"/>
          <w:szCs w:val="18"/>
        </w:rPr>
        <w:t>2、</w:t>
      </w:r>
      <w:r>
        <w:rPr>
          <w:rFonts w:hint="eastAsia" w:ascii="宋体" w:hAnsi="宋体" w:cs="宋体"/>
          <w:b/>
          <w:bCs/>
          <w:kern w:val="0"/>
          <w:sz w:val="18"/>
          <w:szCs w:val="18"/>
        </w:rPr>
        <w:t>投资者同意产品管理人通过上述方式进行本产品的信息披露，投资者应保持联系方式通畅，及时查询产品信息披露情况。</w:t>
      </w:r>
    </w:p>
    <w:p>
      <w:pPr>
        <w:snapToGrid w:val="0"/>
        <w:spacing w:line="360" w:lineRule="exact"/>
        <w:ind w:firstLine="360" w:firstLineChars="200"/>
        <w:rPr>
          <w:rFonts w:ascii="宋体" w:hAnsi="宋体" w:cs="宋体"/>
          <w:kern w:val="0"/>
          <w:sz w:val="18"/>
          <w:szCs w:val="18"/>
        </w:rPr>
      </w:pPr>
      <w:r>
        <w:rPr>
          <w:rFonts w:hint="eastAsia" w:ascii="宋体" w:hAnsi="宋体" w:cs="宋体"/>
          <w:kern w:val="0"/>
          <w:sz w:val="18"/>
          <w:szCs w:val="18"/>
        </w:rPr>
        <w:t>3、产品运作期间，金融市场发生重大变化导致理财产品投资比例暂时超出浮动区间且可能对理财产品收益产生重大影响的，管理人将及时向投资者进行信息披露。</w:t>
      </w:r>
    </w:p>
    <w:p>
      <w:pPr>
        <w:snapToGrid w:val="0"/>
        <w:spacing w:line="360" w:lineRule="exact"/>
        <w:ind w:firstLine="361" w:firstLineChars="200"/>
        <w:rPr>
          <w:rFonts w:ascii="楷体_GB2312" w:eastAsia="楷体_GB2312"/>
          <w:b/>
          <w:szCs w:val="21"/>
        </w:rPr>
      </w:pPr>
      <w:r>
        <w:rPr>
          <w:rFonts w:hint="eastAsia" w:ascii="宋体" w:hAnsi="宋体" w:cs="宋体"/>
          <w:b/>
          <w:bCs/>
          <w:kern w:val="0"/>
          <w:sz w:val="18"/>
          <w:szCs w:val="18"/>
        </w:rPr>
        <w:t>管理人将根据市场情况调整投资范围、投资资产种类或投资比例，并按照有关规定事先进行信息披露。超出销售文件约定比例的，除高风险类型的理财产品超出比例范围投资较低风险资产外，应当先取得投资者书面同意；投资者对相关调整不接受的，可按照管理人公告说明办理全额赎回。</w:t>
      </w:r>
    </w:p>
    <w:p>
      <w:pPr>
        <w:ind w:firstLine="360" w:firstLineChars="200"/>
        <w:jc w:val="left"/>
        <w:rPr>
          <w:rFonts w:ascii="宋体" w:hAnsi="宋体" w:cs="宋体"/>
          <w:kern w:val="0"/>
          <w:sz w:val="18"/>
          <w:szCs w:val="18"/>
        </w:rPr>
      </w:pPr>
      <w:r>
        <w:rPr>
          <w:rFonts w:hint="eastAsia" w:ascii="宋体" w:hAnsi="宋体" w:cs="宋体"/>
          <w:kern w:val="0"/>
          <w:sz w:val="18"/>
          <w:szCs w:val="18"/>
        </w:rPr>
        <w:t>4、</w:t>
      </w:r>
      <w:r>
        <w:rPr>
          <w:rFonts w:hint="eastAsia" w:ascii="宋体" w:hAnsi="宋体" w:cs="宋体"/>
          <w:b/>
          <w:bCs/>
          <w:kern w:val="0"/>
          <w:sz w:val="18"/>
          <w:szCs w:val="18"/>
        </w:rPr>
        <w:t>产品运作期间，常熟农商银行根据相关法律和国家政策规定，需要对已约定的收费项目、条件、标准和方式进行调整时，应当按照有关规定进行信息披露后方可调整；投资者不接受的，可按照管理人公告说明办理全额赎回。</w:t>
      </w:r>
    </w:p>
    <w:p>
      <w:pPr>
        <w:ind w:firstLine="360" w:firstLineChars="200"/>
        <w:jc w:val="left"/>
        <w:rPr>
          <w:rFonts w:ascii="宋体" w:hAnsi="宋体" w:cs="宋体"/>
          <w:kern w:val="0"/>
          <w:sz w:val="18"/>
          <w:szCs w:val="18"/>
        </w:rPr>
      </w:pPr>
      <w:r>
        <w:rPr>
          <w:rFonts w:hint="eastAsia" w:ascii="宋体" w:hAnsi="宋体" w:cs="宋体"/>
          <w:kern w:val="0"/>
          <w:sz w:val="18"/>
          <w:szCs w:val="18"/>
        </w:rPr>
        <w:t>5、产品存续期内，如出于维持产品正常运营的需要且在不损害投资者利益的前提下，或因国家法律法规、监管规定发生变化，产品管理人有权单方对本理财产品产品说明书进行修订。产品管理人决定对产品说明书进行修订的，将提前两个工作日通过官网（www.csrcbank.com）发布相关信息公告通知投资者，</w:t>
      </w:r>
      <w:r>
        <w:rPr>
          <w:rFonts w:hint="eastAsia" w:ascii="宋体" w:hAnsi="宋体" w:cs="宋体"/>
          <w:b/>
          <w:bCs/>
          <w:kern w:val="0"/>
          <w:sz w:val="18"/>
          <w:szCs w:val="18"/>
        </w:rPr>
        <w:t>投资者可按照公告说明提起异议，未在公告规定时间明确提出异议的，视为投资者接受修订。</w:t>
      </w:r>
    </w:p>
    <w:p>
      <w:pPr>
        <w:ind w:firstLine="360" w:firstLineChars="200"/>
        <w:jc w:val="left"/>
        <w:rPr>
          <w:rFonts w:ascii="宋体" w:hAnsi="宋体" w:cs="宋体"/>
          <w:kern w:val="0"/>
          <w:sz w:val="18"/>
          <w:szCs w:val="18"/>
        </w:rPr>
      </w:pPr>
      <w:r>
        <w:rPr>
          <w:rFonts w:hint="eastAsia" w:ascii="宋体" w:hAnsi="宋体" w:cs="宋体"/>
          <w:kern w:val="0"/>
          <w:sz w:val="18"/>
          <w:szCs w:val="18"/>
        </w:rPr>
        <w:t>6、对于在本产品说明书签订和履行过程中获取和知悉的客户投资者的未公开信息和资料，产品管理人对相关信息和资料的使用不得违反法律法规和监管要求，并依法承担保密责任，不得向第三方披露该等信息和资料，但下列情形除外：</w:t>
      </w:r>
    </w:p>
    <w:p>
      <w:pPr>
        <w:widowControl/>
        <w:ind w:firstLine="361" w:firstLineChars="200"/>
        <w:jc w:val="left"/>
        <w:rPr>
          <w:rFonts w:ascii="宋体" w:hAnsi="宋体" w:cs="宋体"/>
          <w:b/>
          <w:bCs/>
          <w:kern w:val="0"/>
          <w:sz w:val="18"/>
          <w:szCs w:val="18"/>
        </w:rPr>
      </w:pPr>
      <w:r>
        <w:rPr>
          <w:rFonts w:hint="eastAsia" w:ascii="宋体" w:hAnsi="宋体" w:cs="宋体"/>
          <w:b/>
          <w:bCs/>
          <w:kern w:val="0"/>
          <w:sz w:val="18"/>
          <w:szCs w:val="18"/>
        </w:rPr>
        <w:t>（1）适用的法律法规要求披露的；</w:t>
      </w:r>
    </w:p>
    <w:p>
      <w:pPr>
        <w:widowControl/>
        <w:ind w:firstLine="361" w:firstLineChars="200"/>
        <w:jc w:val="left"/>
        <w:rPr>
          <w:rFonts w:ascii="宋体" w:hAnsi="宋体" w:cs="宋体"/>
          <w:b/>
          <w:bCs/>
          <w:kern w:val="0"/>
          <w:sz w:val="18"/>
          <w:szCs w:val="18"/>
        </w:rPr>
      </w:pPr>
      <w:r>
        <w:rPr>
          <w:rFonts w:hint="eastAsia" w:ascii="宋体" w:hAnsi="宋体" w:cs="宋体"/>
          <w:b/>
          <w:bCs/>
          <w:kern w:val="0"/>
          <w:sz w:val="18"/>
          <w:szCs w:val="18"/>
        </w:rPr>
        <w:t>（2）司法部门或监管机构依法要求披露的；</w:t>
      </w:r>
    </w:p>
    <w:p>
      <w:pPr>
        <w:widowControl/>
        <w:ind w:firstLine="361" w:firstLineChars="200"/>
        <w:jc w:val="left"/>
        <w:rPr>
          <w:rFonts w:ascii="宋体" w:hAnsi="宋体" w:cs="宋体"/>
          <w:b/>
          <w:bCs/>
          <w:kern w:val="0"/>
          <w:sz w:val="18"/>
          <w:szCs w:val="18"/>
        </w:rPr>
      </w:pPr>
      <w:r>
        <w:rPr>
          <w:rFonts w:hint="eastAsia" w:ascii="宋体" w:hAnsi="宋体" w:cs="宋体"/>
          <w:b/>
          <w:bCs/>
          <w:kern w:val="0"/>
          <w:sz w:val="18"/>
          <w:szCs w:val="18"/>
        </w:rPr>
        <w:t>（3）产品管理人为履行本产品说明书义务及行使产品说明书项下权利需向外部专业顾问、托管人、理财产品合作机构披露和允许外部专业顾问、托管人、理财产品合作机构在保密的基础上使用的；</w:t>
      </w:r>
    </w:p>
    <w:p>
      <w:pPr>
        <w:widowControl/>
        <w:ind w:firstLine="361" w:firstLineChars="200"/>
        <w:jc w:val="left"/>
        <w:rPr>
          <w:rFonts w:ascii="宋体" w:hAnsi="宋体" w:cs="宋体"/>
          <w:kern w:val="0"/>
          <w:sz w:val="18"/>
          <w:szCs w:val="18"/>
        </w:rPr>
      </w:pPr>
      <w:r>
        <w:rPr>
          <w:rFonts w:hint="eastAsia" w:ascii="宋体" w:hAnsi="宋体" w:cs="宋体"/>
          <w:b/>
          <w:bCs/>
          <w:kern w:val="0"/>
          <w:sz w:val="18"/>
          <w:szCs w:val="18"/>
        </w:rPr>
        <w:t>（4）投资者另行明确同意或授权产品管理人进行披露的。</w:t>
      </w:r>
    </w:p>
    <w:p>
      <w:pPr>
        <w:ind w:firstLine="361" w:firstLineChars="200"/>
        <w:rPr>
          <w:rFonts w:ascii="宋体" w:hAnsi="宋体"/>
          <w:b/>
          <w:sz w:val="18"/>
          <w:szCs w:val="18"/>
        </w:rPr>
      </w:pPr>
      <w:r>
        <w:rPr>
          <w:rFonts w:hint="eastAsia" w:ascii="宋体" w:hAnsi="宋体"/>
          <w:b/>
          <w:sz w:val="18"/>
          <w:szCs w:val="18"/>
        </w:rPr>
        <w:t>投资者知晓并同意：产品管理人根据监管规定对投资者及投资者持有的理财产品的相关信息，包括但不限于身份信息、交易信息、持仓信息等进行登记，并传输给银行业理财登记托管中心。银行也可根据托管机构、理财产品合作机构反洗钱工作或其他监管工作要求向托管机构、理财产品合作机构披露投资者相关信息。</w:t>
      </w:r>
    </w:p>
    <w:p>
      <w:pPr>
        <w:rPr>
          <w:rFonts w:ascii="宋体" w:hAnsi="宋体"/>
          <w:b/>
          <w:sz w:val="18"/>
          <w:szCs w:val="18"/>
        </w:rPr>
      </w:pPr>
      <w:r>
        <w:rPr>
          <w:rFonts w:hint="eastAsia" w:ascii="宋体" w:hAnsi="宋体"/>
          <w:b/>
          <w:sz w:val="18"/>
          <w:szCs w:val="18"/>
        </w:rPr>
        <w:t>四、投诉</w:t>
      </w:r>
    </w:p>
    <w:p>
      <w:pPr>
        <w:ind w:firstLine="360" w:firstLineChars="200"/>
        <w:jc w:val="left"/>
        <w:rPr>
          <w:rFonts w:ascii="宋体" w:hAnsi="宋体" w:cs="宋体"/>
          <w:kern w:val="0"/>
          <w:sz w:val="18"/>
          <w:szCs w:val="18"/>
        </w:rPr>
      </w:pPr>
      <w:r>
        <w:rPr>
          <w:rFonts w:hint="eastAsia" w:ascii="宋体" w:hAnsi="宋体" w:cs="宋体"/>
          <w:kern w:val="0"/>
          <w:sz w:val="18"/>
          <w:szCs w:val="18"/>
        </w:rPr>
        <w:t>投资者若对本理财产品有任何疑问，可咨询销售银行营业网点工作人员；如对该产品和服务有任何意见和建议，可通过以下渠道进行反映：</w:t>
      </w:r>
    </w:p>
    <w:p>
      <w:pPr>
        <w:numPr>
          <w:ilvl w:val="0"/>
          <w:numId w:val="3"/>
        </w:numPr>
        <w:ind w:firstLine="360" w:firstLineChars="200"/>
        <w:jc w:val="left"/>
        <w:rPr>
          <w:rFonts w:ascii="宋体" w:hAnsi="宋体" w:cs="宋体"/>
          <w:kern w:val="0"/>
          <w:sz w:val="18"/>
          <w:szCs w:val="18"/>
        </w:rPr>
      </w:pPr>
      <w:r>
        <w:rPr>
          <w:rFonts w:hint="eastAsia" w:ascii="宋体" w:hAnsi="宋体" w:cs="宋体"/>
          <w:kern w:val="0"/>
          <w:sz w:val="18"/>
          <w:szCs w:val="18"/>
        </w:rPr>
        <w:t>销售银行各营业网均设立专员负责受理客户的投诉。</w:t>
      </w:r>
    </w:p>
    <w:p>
      <w:pPr>
        <w:ind w:firstLine="360" w:firstLineChars="200"/>
        <w:jc w:val="left"/>
        <w:rPr>
          <w:rFonts w:ascii="宋体" w:hAnsi="宋体" w:cs="宋体"/>
          <w:kern w:val="0"/>
          <w:sz w:val="18"/>
          <w:szCs w:val="18"/>
        </w:rPr>
      </w:pPr>
      <w:r>
        <w:rPr>
          <w:rFonts w:hint="eastAsia" w:ascii="宋体" w:hAnsi="宋体" w:cs="宋体"/>
          <w:kern w:val="0"/>
          <w:sz w:val="18"/>
          <w:szCs w:val="18"/>
        </w:rPr>
        <w:t>2、产品管理人客户服务热线设立专线投诉电话受理理财业务的投资者投诉，并指定专人负责接听、记录、处理和跟踪。</w:t>
      </w:r>
    </w:p>
    <w:p>
      <w:pPr>
        <w:ind w:firstLine="360" w:firstLineChars="200"/>
        <w:jc w:val="left"/>
        <w:rPr>
          <w:rFonts w:ascii="宋体" w:hAnsi="宋体" w:cs="宋体"/>
          <w:kern w:val="0"/>
          <w:sz w:val="18"/>
          <w:szCs w:val="18"/>
        </w:rPr>
      </w:pPr>
      <w:r>
        <w:rPr>
          <w:rFonts w:hint="eastAsia" w:ascii="宋体" w:hAnsi="宋体" w:cs="宋体"/>
          <w:kern w:val="0"/>
          <w:sz w:val="18"/>
          <w:szCs w:val="18"/>
        </w:rPr>
        <w:t>3、各网点营业大厅显要处设立意见箱或意见簿，定期检查客户投诉记录并及时处理。</w:t>
      </w:r>
    </w:p>
    <w:p>
      <w:pPr>
        <w:ind w:firstLine="360" w:firstLineChars="200"/>
        <w:jc w:val="left"/>
        <w:rPr>
          <w:rFonts w:ascii="宋体" w:hAnsi="宋体"/>
          <w:sz w:val="18"/>
          <w:szCs w:val="18"/>
        </w:rPr>
      </w:pPr>
      <w:r>
        <w:rPr>
          <w:rFonts w:hint="eastAsia" w:ascii="宋体" w:hAnsi="宋体" w:cs="宋体"/>
          <w:kern w:val="0"/>
          <w:sz w:val="18"/>
          <w:szCs w:val="18"/>
        </w:rPr>
        <w:t>4、登陆产品管理人官方网站</w:t>
      </w:r>
      <w:r>
        <w:rPr>
          <w:rFonts w:ascii="宋体" w:hAnsi="宋体" w:cs="宋体"/>
          <w:kern w:val="0"/>
          <w:sz w:val="18"/>
          <w:szCs w:val="18"/>
          <w:u w:val="single"/>
        </w:rPr>
        <w:t>www.</w:t>
      </w:r>
      <w:r>
        <w:rPr>
          <w:rFonts w:hint="eastAsia" w:ascii="宋体" w:hAnsi="宋体" w:cs="宋体"/>
          <w:kern w:val="0"/>
          <w:sz w:val="18"/>
          <w:szCs w:val="18"/>
          <w:u w:val="single"/>
        </w:rPr>
        <w:t>csrcbank</w:t>
      </w:r>
      <w:r>
        <w:rPr>
          <w:rFonts w:ascii="宋体" w:hAnsi="宋体" w:cs="宋体"/>
          <w:kern w:val="0"/>
          <w:sz w:val="18"/>
          <w:szCs w:val="18"/>
          <w:u w:val="single"/>
        </w:rPr>
        <w:t>.com</w:t>
      </w:r>
      <w:r>
        <w:rPr>
          <w:rFonts w:hint="eastAsia" w:ascii="宋体" w:hAnsi="宋体" w:cs="宋体"/>
          <w:kern w:val="0"/>
          <w:sz w:val="18"/>
          <w:szCs w:val="18"/>
        </w:rPr>
        <w:t>进行反映，产品管理人将按照相关流程予以受理。</w:t>
      </w:r>
    </w:p>
    <w:p>
      <w:pPr>
        <w:rPr>
          <w:rFonts w:ascii="宋体" w:hAnsi="宋体"/>
          <w:b/>
          <w:bCs/>
          <w:sz w:val="18"/>
          <w:szCs w:val="18"/>
        </w:rPr>
      </w:pPr>
      <w:r>
        <w:rPr>
          <w:rFonts w:hint="eastAsia" w:ascii="宋体" w:hAnsi="宋体"/>
          <w:b/>
          <w:bCs/>
          <w:sz w:val="18"/>
          <w:szCs w:val="18"/>
        </w:rPr>
        <w:t>五、常熟农商银行联络方式：</w:t>
      </w:r>
    </w:p>
    <w:p>
      <w:pPr>
        <w:ind w:firstLine="360" w:firstLineChars="200"/>
        <w:jc w:val="left"/>
        <w:rPr>
          <w:rFonts w:ascii="宋体" w:hAnsi="宋体" w:cs="宋体"/>
          <w:kern w:val="0"/>
          <w:sz w:val="18"/>
          <w:szCs w:val="18"/>
        </w:rPr>
      </w:pPr>
      <w:r>
        <w:rPr>
          <w:rFonts w:hint="eastAsia" w:ascii="宋体" w:hAnsi="宋体" w:cs="宋体"/>
          <w:kern w:val="0"/>
          <w:sz w:val="18"/>
          <w:szCs w:val="18"/>
        </w:rPr>
        <w:t>客服电话：956020        官方网站：</w:t>
      </w:r>
      <w:r>
        <w:fldChar w:fldCharType="begin"/>
      </w:r>
      <w:r>
        <w:instrText xml:space="preserve"> HYPERLINK "http://www.csrcbank.com/" </w:instrText>
      </w:r>
      <w:r>
        <w:fldChar w:fldCharType="separate"/>
      </w:r>
      <w:r>
        <w:rPr>
          <w:rStyle w:val="10"/>
          <w:rFonts w:ascii="宋体" w:hAnsi="宋体" w:cs="宋体"/>
          <w:color w:val="auto"/>
          <w:kern w:val="0"/>
          <w:sz w:val="18"/>
          <w:szCs w:val="18"/>
        </w:rPr>
        <w:t>www.</w:t>
      </w:r>
      <w:r>
        <w:rPr>
          <w:rStyle w:val="10"/>
          <w:rFonts w:hint="eastAsia" w:ascii="宋体" w:hAnsi="宋体" w:cs="宋体"/>
          <w:color w:val="auto"/>
          <w:kern w:val="0"/>
          <w:sz w:val="18"/>
          <w:szCs w:val="18"/>
        </w:rPr>
        <w:t>csrcbank</w:t>
      </w:r>
      <w:r>
        <w:rPr>
          <w:rStyle w:val="10"/>
          <w:rFonts w:ascii="宋体" w:hAnsi="宋体" w:cs="宋体"/>
          <w:color w:val="auto"/>
          <w:kern w:val="0"/>
          <w:sz w:val="18"/>
          <w:szCs w:val="18"/>
        </w:rPr>
        <w:t>.com</w:t>
      </w:r>
      <w:r>
        <w:rPr>
          <w:rStyle w:val="10"/>
          <w:rFonts w:ascii="宋体" w:hAnsi="宋体" w:cs="宋体"/>
          <w:color w:val="auto"/>
          <w:kern w:val="0"/>
          <w:sz w:val="18"/>
          <w:szCs w:val="18"/>
        </w:rPr>
        <w:fldChar w:fldCharType="end"/>
      </w:r>
    </w:p>
    <w:p>
      <w:pPr>
        <w:jc w:val="left"/>
        <w:rPr>
          <w:rFonts w:ascii="宋体" w:hAnsi="宋体" w:cs="宋体"/>
          <w:b/>
          <w:kern w:val="0"/>
          <w:sz w:val="18"/>
          <w:szCs w:val="18"/>
        </w:rPr>
      </w:pPr>
      <w:r>
        <w:rPr>
          <w:rFonts w:hint="eastAsia" w:ascii="宋体" w:hAnsi="宋体" w:cs="宋体"/>
          <w:b/>
          <w:kern w:val="0"/>
          <w:sz w:val="18"/>
          <w:szCs w:val="18"/>
        </w:rPr>
        <w:t>六、本投资者权益须知与理财产品协议书、理财产品说明书、风险揭示书共同构成完整不可分割的理财产品合同。</w:t>
      </w: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hint="eastAsia" w:ascii="宋体" w:hAnsi="宋体"/>
          <w:b/>
          <w:bCs/>
          <w:sz w:val="28"/>
          <w:szCs w:val="18"/>
        </w:rPr>
      </w:pPr>
    </w:p>
    <w:p>
      <w:pPr>
        <w:jc w:val="center"/>
        <w:rPr>
          <w:rFonts w:ascii="宋体" w:hAnsi="宋体"/>
          <w:b/>
          <w:bCs/>
          <w:sz w:val="28"/>
          <w:szCs w:val="18"/>
        </w:rPr>
      </w:pPr>
      <w:r>
        <w:rPr>
          <w:rFonts w:hint="eastAsia" w:ascii="宋体" w:hAnsi="宋体"/>
          <w:b/>
          <w:bCs/>
          <w:sz w:val="28"/>
          <w:szCs w:val="18"/>
        </w:rPr>
        <w:t>理财产品协议书</w:t>
      </w:r>
    </w:p>
    <w:p>
      <w:pPr>
        <w:tabs>
          <w:tab w:val="left" w:pos="720"/>
        </w:tabs>
        <w:ind w:firstLine="360" w:firstLineChars="200"/>
        <w:jc w:val="center"/>
        <w:rPr>
          <w:rFonts w:ascii="宋体" w:hAnsi="宋体"/>
          <w:sz w:val="18"/>
          <w:szCs w:val="18"/>
        </w:rPr>
      </w:pPr>
      <w:r>
        <w:rPr>
          <w:rFonts w:hint="eastAsia" w:ascii="宋体" w:hAnsi="宋体"/>
          <w:sz w:val="18"/>
          <w:szCs w:val="18"/>
        </w:rPr>
        <w:t>（适用于常熟农商银行销售）</w:t>
      </w:r>
    </w:p>
    <w:p>
      <w:pPr>
        <w:ind w:firstLine="360" w:firstLineChars="200"/>
        <w:rPr>
          <w:rFonts w:ascii="宋体" w:hAnsi="宋体"/>
          <w:sz w:val="18"/>
          <w:szCs w:val="18"/>
        </w:rPr>
      </w:pPr>
    </w:p>
    <w:p>
      <w:pPr>
        <w:ind w:firstLine="360" w:firstLineChars="200"/>
        <w:rPr>
          <w:rFonts w:ascii="宋体" w:hAnsi="宋体"/>
          <w:sz w:val="18"/>
          <w:szCs w:val="18"/>
        </w:rPr>
      </w:pPr>
      <w:r>
        <w:rPr>
          <w:rFonts w:hint="eastAsia" w:ascii="宋体" w:hAnsi="宋体"/>
          <w:sz w:val="18"/>
          <w:szCs w:val="18"/>
        </w:rPr>
        <w:t>甲方：投资者</w:t>
      </w:r>
    </w:p>
    <w:p>
      <w:pPr>
        <w:ind w:firstLine="360" w:firstLineChars="200"/>
        <w:rPr>
          <w:rFonts w:ascii="宋体" w:hAnsi="宋体"/>
          <w:sz w:val="18"/>
          <w:szCs w:val="18"/>
        </w:rPr>
      </w:pPr>
      <w:r>
        <w:rPr>
          <w:rFonts w:hint="eastAsia" w:ascii="宋体" w:hAnsi="宋体"/>
          <w:sz w:val="18"/>
          <w:szCs w:val="18"/>
        </w:rPr>
        <w:t>乙方：江苏常熟农村商业银行股份有限公司________________________________（柜面签署为分支机构名称，电子渠道签署为总行名称）</w:t>
      </w:r>
    </w:p>
    <w:p>
      <w:pPr>
        <w:tabs>
          <w:tab w:val="left" w:pos="720"/>
        </w:tabs>
        <w:ind w:firstLine="360" w:firstLineChars="200"/>
        <w:rPr>
          <w:rFonts w:ascii="宋体" w:hAnsi="宋体"/>
          <w:sz w:val="18"/>
          <w:szCs w:val="18"/>
        </w:rPr>
      </w:pPr>
      <w:r>
        <w:rPr>
          <w:rFonts w:hint="eastAsia" w:ascii="宋体" w:hAnsi="宋体"/>
          <w:sz w:val="18"/>
          <w:szCs w:val="18"/>
        </w:rPr>
        <w:t>经甲方与乙方协商一致，就甲方向乙方购买理财产品，达成协议如下：</w:t>
      </w:r>
    </w:p>
    <w:p>
      <w:pPr>
        <w:tabs>
          <w:tab w:val="left" w:pos="720"/>
        </w:tabs>
        <w:rPr>
          <w:rFonts w:ascii="宋体" w:hAnsi="宋体"/>
          <w:b/>
          <w:bCs/>
          <w:sz w:val="18"/>
          <w:szCs w:val="18"/>
        </w:rPr>
      </w:pPr>
      <w:r>
        <w:rPr>
          <w:rFonts w:hint="eastAsia" w:ascii="宋体" w:hAnsi="宋体"/>
          <w:b/>
          <w:bCs/>
          <w:sz w:val="18"/>
          <w:szCs w:val="18"/>
        </w:rPr>
        <w:t>一、风险揭示</w:t>
      </w:r>
    </w:p>
    <w:p>
      <w:pPr>
        <w:tabs>
          <w:tab w:val="left" w:pos="720"/>
        </w:tabs>
        <w:ind w:firstLine="361" w:firstLineChars="200"/>
        <w:rPr>
          <w:rFonts w:ascii="宋体" w:hAnsi="宋体"/>
          <w:sz w:val="18"/>
          <w:szCs w:val="18"/>
        </w:rPr>
      </w:pPr>
      <w:r>
        <w:rPr>
          <w:rFonts w:hint="eastAsia" w:ascii="宋体" w:hAnsi="宋体"/>
          <w:b/>
          <w:bCs/>
          <w:sz w:val="18"/>
          <w:szCs w:val="18"/>
        </w:rPr>
        <w:t>理财非存款、产品有风险、投资须谨慎。</w:t>
      </w:r>
      <w:r>
        <w:rPr>
          <w:rFonts w:hint="eastAsia" w:ascii="宋体" w:hAnsi="宋体"/>
          <w:sz w:val="18"/>
          <w:szCs w:val="18"/>
        </w:rPr>
        <w:t>投资理财产品可能面临信用风险、市场风险、流动性风险等风险因素，具体由乙方在每款理财产品的《理财产品说明书》和《风险揭示书》中揭示。甲方应仔细阅读并充分理解拟认购理财产品对应的《理财产品说明书》和《风险揭示书》的详细条款及可能发生的风险。</w:t>
      </w:r>
    </w:p>
    <w:p>
      <w:pPr>
        <w:tabs>
          <w:tab w:val="left" w:pos="720"/>
        </w:tabs>
        <w:rPr>
          <w:rFonts w:ascii="宋体" w:hAnsi="宋体"/>
          <w:b/>
          <w:bCs/>
          <w:sz w:val="18"/>
          <w:szCs w:val="18"/>
        </w:rPr>
      </w:pPr>
      <w:r>
        <w:rPr>
          <w:rFonts w:hint="eastAsia" w:ascii="宋体" w:hAnsi="宋体"/>
          <w:b/>
          <w:bCs/>
          <w:sz w:val="18"/>
          <w:szCs w:val="18"/>
        </w:rPr>
        <w:t>二、甲方认购/申购金额及账户</w:t>
      </w:r>
    </w:p>
    <w:p>
      <w:pPr>
        <w:tabs>
          <w:tab w:val="left" w:pos="720"/>
        </w:tabs>
        <w:ind w:firstLine="360" w:firstLineChars="200"/>
        <w:rPr>
          <w:rFonts w:ascii="宋体" w:hAnsi="宋体"/>
          <w:sz w:val="18"/>
          <w:szCs w:val="18"/>
        </w:rPr>
      </w:pPr>
      <w:r>
        <w:rPr>
          <w:rFonts w:hint="eastAsia" w:ascii="宋体" w:hAnsi="宋体"/>
          <w:sz w:val="18"/>
          <w:szCs w:val="18"/>
        </w:rPr>
        <w:t>1、甲方认购/申购理财产品金额及扣款账户，通过乙方柜面认购/申购的，以《理财产品交易信息表》金额和账户为准；通过乙方电子渠道认购/申购的，以甲方在电子渠道端点击确认的金额和账户为准。</w:t>
      </w:r>
    </w:p>
    <w:p>
      <w:pPr>
        <w:spacing w:line="320" w:lineRule="exact"/>
        <w:ind w:firstLine="360" w:firstLineChars="200"/>
        <w:rPr>
          <w:rFonts w:ascii="宋体" w:hAnsi="宋体" w:cs="宋体"/>
          <w:sz w:val="18"/>
          <w:szCs w:val="18"/>
        </w:rPr>
      </w:pPr>
      <w:r>
        <w:rPr>
          <w:rFonts w:hint="eastAsia" w:ascii="宋体" w:hAnsi="宋体" w:cs="宋体"/>
          <w:sz w:val="18"/>
          <w:szCs w:val="18"/>
        </w:rPr>
        <w:t>2、甲方委托乙方于理财产品到期或赎回后将兑付资金划转至甲方原认购/申购账户内。甲方持有理财产品期间，若甲方要求变更本协议结算账户，应提前2个工作日向乙方提出申请，并获得乙方的确认回执，且变更后的账户应为甲方在乙方处开立的其他账户；甲方不得将结算帐户注销。</w:t>
      </w:r>
    </w:p>
    <w:p>
      <w:pPr>
        <w:tabs>
          <w:tab w:val="left" w:pos="720"/>
        </w:tabs>
        <w:rPr>
          <w:rFonts w:ascii="宋体" w:hAnsi="宋体"/>
          <w:b/>
          <w:bCs/>
          <w:sz w:val="18"/>
          <w:szCs w:val="18"/>
        </w:rPr>
      </w:pPr>
      <w:r>
        <w:rPr>
          <w:rFonts w:hint="eastAsia" w:ascii="宋体" w:hAnsi="宋体" w:cs="宋体"/>
          <w:sz w:val="18"/>
          <w:szCs w:val="18"/>
        </w:rPr>
        <w:t>三、</w:t>
      </w:r>
      <w:r>
        <w:rPr>
          <w:rFonts w:hint="eastAsia" w:ascii="宋体" w:hAnsi="宋体"/>
          <w:b/>
          <w:bCs/>
          <w:sz w:val="18"/>
          <w:szCs w:val="18"/>
        </w:rPr>
        <w:t>甲方声明与承诺</w:t>
      </w:r>
    </w:p>
    <w:p>
      <w:pPr>
        <w:tabs>
          <w:tab w:val="left" w:pos="720"/>
        </w:tabs>
        <w:ind w:firstLine="360" w:firstLineChars="200"/>
        <w:rPr>
          <w:rFonts w:ascii="宋体" w:hAnsi="宋体"/>
          <w:sz w:val="18"/>
          <w:szCs w:val="18"/>
        </w:rPr>
      </w:pPr>
      <w:r>
        <w:rPr>
          <w:rFonts w:hint="eastAsia" w:ascii="宋体" w:hAnsi="宋体"/>
          <w:sz w:val="18"/>
          <w:szCs w:val="18"/>
        </w:rPr>
        <w:t>1、</w:t>
      </w:r>
      <w:r>
        <w:rPr>
          <w:rFonts w:hint="eastAsia" w:ascii="宋体" w:hAnsi="宋体"/>
          <w:b/>
          <w:bCs/>
          <w:sz w:val="18"/>
          <w:szCs w:val="18"/>
        </w:rPr>
        <w:t>甲方是具有完全民事行为能力的个人/机构，已经阅读《投资者权益须知》并清楚知晓其内容，接受并签署《理财产品协议书》、《理财产品说明书》和《风险揭示书》，对有关条款不存在任何疑问或异议；</w:t>
      </w:r>
    </w:p>
    <w:p>
      <w:pPr>
        <w:tabs>
          <w:tab w:val="left" w:pos="720"/>
        </w:tabs>
        <w:ind w:firstLine="360" w:firstLineChars="200"/>
        <w:rPr>
          <w:rFonts w:ascii="宋体" w:hAnsi="宋体"/>
          <w:sz w:val="18"/>
          <w:szCs w:val="18"/>
        </w:rPr>
      </w:pPr>
      <w:r>
        <w:rPr>
          <w:rFonts w:hint="eastAsia" w:ascii="宋体" w:hAnsi="宋体"/>
          <w:sz w:val="18"/>
          <w:szCs w:val="18"/>
        </w:rPr>
        <w:t>2、甲方以</w:t>
      </w:r>
      <w:r>
        <w:rPr>
          <w:rFonts w:hint="eastAsia" w:ascii="宋体" w:hAnsi="宋体"/>
          <w:b/>
          <w:bCs/>
          <w:sz w:val="18"/>
          <w:szCs w:val="18"/>
        </w:rPr>
        <w:t>本人合法所有的资金购</w:t>
      </w:r>
      <w:r>
        <w:rPr>
          <w:rFonts w:hint="eastAsia" w:ascii="宋体" w:hAnsi="宋体"/>
          <w:sz w:val="18"/>
          <w:szCs w:val="18"/>
        </w:rPr>
        <w:t>买乙方提供的产品，并能充分理解所购买产品的内容，完全知晓产品可能出现的各种风险，</w:t>
      </w:r>
      <w:r>
        <w:rPr>
          <w:rFonts w:hint="eastAsia" w:ascii="宋体" w:hAnsi="宋体"/>
          <w:b/>
          <w:bCs/>
          <w:sz w:val="18"/>
          <w:szCs w:val="18"/>
        </w:rPr>
        <w:t>愿意并能够承担风险。乙方向甲方提供的市场分析和预测仅供参考，</w:t>
      </w:r>
      <w:r>
        <w:rPr>
          <w:rFonts w:hint="eastAsia" w:ascii="宋体" w:hAnsi="宋体"/>
          <w:sz w:val="18"/>
          <w:szCs w:val="18"/>
        </w:rPr>
        <w:t>甲方据此做出的任何决策均出于甲方自身的判断。</w:t>
      </w:r>
    </w:p>
    <w:p>
      <w:pPr>
        <w:tabs>
          <w:tab w:val="left" w:pos="720"/>
        </w:tabs>
        <w:ind w:firstLine="360" w:firstLineChars="200"/>
        <w:rPr>
          <w:rFonts w:ascii="宋体" w:hAnsi="宋体"/>
          <w:sz w:val="18"/>
          <w:szCs w:val="18"/>
        </w:rPr>
      </w:pPr>
      <w:r>
        <w:rPr>
          <w:rFonts w:hint="eastAsia" w:ascii="宋体" w:hAnsi="宋体"/>
          <w:sz w:val="18"/>
          <w:szCs w:val="18"/>
        </w:rPr>
        <w:t>3、</w:t>
      </w:r>
      <w:r>
        <w:rPr>
          <w:rFonts w:hint="eastAsia" w:ascii="宋体" w:hAnsi="宋体"/>
          <w:b/>
          <w:bCs/>
          <w:sz w:val="18"/>
          <w:szCs w:val="18"/>
        </w:rPr>
        <w:t>甲方签订和履行本协议是甲方真实意思表示，并已经过所有必需的同意、批准及授权。个人投资者，其已经过财产共同所有权人同意；机构投资者，其已履行内部必要的批准程序。</w:t>
      </w:r>
    </w:p>
    <w:p>
      <w:pPr>
        <w:tabs>
          <w:tab w:val="left" w:pos="720"/>
        </w:tabs>
        <w:ind w:firstLine="360" w:firstLineChars="200"/>
        <w:rPr>
          <w:rFonts w:ascii="宋体" w:hAnsi="宋体"/>
          <w:sz w:val="18"/>
          <w:szCs w:val="18"/>
        </w:rPr>
      </w:pPr>
      <w:r>
        <w:rPr>
          <w:rFonts w:hint="eastAsia" w:ascii="宋体" w:hAnsi="宋体"/>
          <w:sz w:val="18"/>
          <w:szCs w:val="18"/>
        </w:rPr>
        <w:t>4、</w:t>
      </w:r>
      <w:r>
        <w:rPr>
          <w:rFonts w:hint="eastAsia" w:ascii="宋体" w:hAnsi="宋体"/>
          <w:b/>
          <w:bCs/>
          <w:sz w:val="18"/>
          <w:szCs w:val="18"/>
        </w:rPr>
        <w:t>甲方认/申购理财产品并签署本协议后，即授权乙方在理财产品说明书中约定的扣款日从甲方购买理财产品的账户中扣划甲方本协议项下的理财款项，乙方划款前无需再同甲方进行确认</w:t>
      </w:r>
      <w:r>
        <w:rPr>
          <w:rFonts w:hint="eastAsia" w:ascii="宋体" w:hAnsi="宋体"/>
          <w:sz w:val="18"/>
          <w:szCs w:val="18"/>
        </w:rPr>
        <w:t>。在理财产品存续期间，甲方应保持购买理财产品的账户持续有效。理财产品到期或甲方赎回理财产品时，本金及收益（如有）由乙方自动兑付至甲方原认购账户或甲方变更后的其他账户。</w:t>
      </w:r>
    </w:p>
    <w:p>
      <w:pPr>
        <w:tabs>
          <w:tab w:val="left" w:pos="720"/>
        </w:tabs>
        <w:ind w:firstLine="360" w:firstLineChars="200"/>
        <w:rPr>
          <w:rFonts w:ascii="宋体" w:hAnsi="宋体"/>
          <w:sz w:val="18"/>
          <w:szCs w:val="18"/>
        </w:rPr>
      </w:pPr>
      <w:r>
        <w:rPr>
          <w:rFonts w:hint="eastAsia" w:ascii="宋体" w:hAnsi="宋体"/>
          <w:sz w:val="18"/>
          <w:szCs w:val="18"/>
        </w:rPr>
        <w:t>5、甲方确认，理财产品需收取一定的费用（如固定管理费、托管费等），具体收费方式和标准在《理财产品说明书》中约定。</w:t>
      </w:r>
    </w:p>
    <w:p>
      <w:pPr>
        <w:tabs>
          <w:tab w:val="left" w:pos="720"/>
        </w:tabs>
        <w:ind w:firstLine="361" w:firstLineChars="200"/>
        <w:rPr>
          <w:rFonts w:ascii="宋体" w:hAnsi="宋体"/>
          <w:b/>
          <w:bCs/>
          <w:sz w:val="18"/>
          <w:szCs w:val="18"/>
        </w:rPr>
      </w:pPr>
      <w:r>
        <w:rPr>
          <w:rFonts w:hint="eastAsia" w:ascii="宋体" w:hAnsi="宋体"/>
          <w:b/>
          <w:bCs/>
          <w:sz w:val="18"/>
          <w:szCs w:val="18"/>
        </w:rPr>
        <w:t>6、乙方暂不提供理财产品转让或质押服务。甲方转让或者质押其持有理财产品或以其他方式处理理财合同项下的权利和义务，需经乙方同意，否则乙方有权不予办理转让或质押登记。</w:t>
      </w:r>
    </w:p>
    <w:p>
      <w:pPr>
        <w:rPr>
          <w:rFonts w:ascii="宋体" w:hAnsi="宋体"/>
          <w:b/>
          <w:bCs/>
          <w:sz w:val="18"/>
          <w:szCs w:val="18"/>
        </w:rPr>
      </w:pPr>
      <w:r>
        <w:rPr>
          <w:rFonts w:hint="eastAsia" w:ascii="宋体" w:hAnsi="宋体"/>
          <w:b/>
          <w:bCs/>
          <w:sz w:val="18"/>
          <w:szCs w:val="18"/>
        </w:rPr>
        <w:t>四、赎回和提前终止</w:t>
      </w:r>
    </w:p>
    <w:p>
      <w:pPr>
        <w:ind w:firstLine="360" w:firstLineChars="200"/>
        <w:rPr>
          <w:rFonts w:ascii="宋体" w:hAnsi="宋体"/>
          <w:sz w:val="18"/>
          <w:szCs w:val="18"/>
        </w:rPr>
      </w:pPr>
      <w:r>
        <w:rPr>
          <w:rFonts w:hint="eastAsia" w:ascii="宋体" w:hAnsi="宋体"/>
          <w:sz w:val="18"/>
          <w:szCs w:val="18"/>
        </w:rPr>
        <w:t>1、对于开放式理财产品，甲方可按产品说明书约定进行份额赎回。在开放式理财产品封闭期内，除非理财产品说明书另有约定，乙方不提供部分或全部提前支取理财资金服务。</w:t>
      </w:r>
    </w:p>
    <w:p>
      <w:pPr>
        <w:ind w:firstLine="360" w:firstLineChars="200"/>
        <w:rPr>
          <w:rFonts w:ascii="宋体" w:hAnsi="宋体"/>
          <w:sz w:val="18"/>
          <w:szCs w:val="18"/>
        </w:rPr>
      </w:pPr>
      <w:r>
        <w:rPr>
          <w:rFonts w:hint="eastAsia" w:ascii="宋体" w:hAnsi="宋体"/>
          <w:sz w:val="18"/>
          <w:szCs w:val="18"/>
        </w:rPr>
        <w:t>2、对于封闭式理财产品，除非理财产品说明书另有约定，乙方不提供部分或全部提前支取理财资金服务。</w:t>
      </w:r>
    </w:p>
    <w:p>
      <w:pPr>
        <w:rPr>
          <w:rFonts w:ascii="宋体" w:hAnsi="宋体"/>
          <w:b/>
          <w:bCs/>
          <w:sz w:val="18"/>
          <w:szCs w:val="18"/>
        </w:rPr>
      </w:pPr>
      <w:r>
        <w:rPr>
          <w:rFonts w:hint="eastAsia" w:ascii="宋体" w:hAnsi="宋体"/>
          <w:b/>
          <w:bCs/>
          <w:sz w:val="18"/>
          <w:szCs w:val="18"/>
        </w:rPr>
        <w:t>五、免责</w:t>
      </w:r>
    </w:p>
    <w:p>
      <w:pPr>
        <w:ind w:firstLine="361" w:firstLineChars="200"/>
        <w:rPr>
          <w:rFonts w:ascii="宋体" w:hAnsi="宋体"/>
          <w:b/>
          <w:bCs/>
          <w:sz w:val="18"/>
          <w:szCs w:val="18"/>
        </w:rPr>
      </w:pPr>
      <w:r>
        <w:rPr>
          <w:rFonts w:hint="eastAsia" w:ascii="宋体" w:hAnsi="宋体"/>
          <w:b/>
          <w:bCs/>
          <w:sz w:val="18"/>
          <w:szCs w:val="18"/>
        </w:rPr>
        <w:t>1、由于地震、火灾、洪水、战争、电力故障、通信系统故障、计算机或网络系统故障等不可抗力导致的交易中断、延误等风险及损失，乙方不承担责任，但应在条件允许的情况下通知甲方，并采取一切必要的补救措施以减小不可抗力造成的损失。</w:t>
      </w:r>
    </w:p>
    <w:p>
      <w:pPr>
        <w:ind w:firstLine="361" w:firstLineChars="200"/>
        <w:rPr>
          <w:rFonts w:ascii="宋体" w:hAnsi="宋体"/>
          <w:b/>
          <w:bCs/>
          <w:sz w:val="18"/>
          <w:szCs w:val="18"/>
        </w:rPr>
      </w:pPr>
      <w:r>
        <w:rPr>
          <w:rFonts w:hint="eastAsia" w:ascii="宋体" w:hAnsi="宋体"/>
          <w:b/>
          <w:bCs/>
          <w:sz w:val="18"/>
          <w:szCs w:val="18"/>
        </w:rPr>
        <w:t>2、由于国家的有关法律、法规、规章、政策的改变、紧急措施的出台而导致的风险，乙方不承担责任。</w:t>
      </w:r>
    </w:p>
    <w:p>
      <w:pPr>
        <w:ind w:firstLine="361" w:firstLineChars="200"/>
        <w:rPr>
          <w:rFonts w:ascii="宋体" w:hAnsi="宋体"/>
          <w:b/>
          <w:bCs/>
          <w:sz w:val="18"/>
          <w:szCs w:val="18"/>
        </w:rPr>
      </w:pPr>
      <w:r>
        <w:rPr>
          <w:rFonts w:hint="eastAsia" w:ascii="宋体" w:hAnsi="宋体"/>
          <w:b/>
          <w:bCs/>
          <w:sz w:val="18"/>
          <w:szCs w:val="18"/>
        </w:rPr>
        <w:t>3、</w:t>
      </w:r>
      <w:r>
        <w:rPr>
          <w:rFonts w:hint="eastAsia" w:ascii="宋体" w:hAnsi="宋体"/>
          <w:b/>
          <w:bCs/>
          <w:spacing w:val="-3"/>
          <w:sz w:val="18"/>
          <w:szCs w:val="18"/>
        </w:rPr>
        <w:t>本协议及产品说明书中涉及的所有日期如遇非工作日，</w:t>
      </w:r>
      <w:r>
        <w:rPr>
          <w:rFonts w:hint="eastAsia" w:ascii="宋体" w:hAnsi="宋体"/>
          <w:b/>
          <w:bCs/>
          <w:sz w:val="18"/>
          <w:szCs w:val="18"/>
        </w:rPr>
        <w:t>则顺延至下一个工作日，赎回款项或到期兑付款项在途期间不支付利息，由此导致的风险，乙方不承担责任。</w:t>
      </w:r>
    </w:p>
    <w:p>
      <w:pPr>
        <w:ind w:firstLine="361" w:firstLineChars="200"/>
        <w:rPr>
          <w:rFonts w:ascii="宋体" w:hAnsi="宋体"/>
          <w:sz w:val="18"/>
          <w:szCs w:val="18"/>
        </w:rPr>
      </w:pPr>
      <w:r>
        <w:rPr>
          <w:rFonts w:hint="eastAsia" w:ascii="宋体" w:hAnsi="宋体"/>
          <w:b/>
          <w:bCs/>
          <w:sz w:val="18"/>
          <w:szCs w:val="18"/>
        </w:rPr>
        <w:t>4、如由于甲方原因，本协议约定的甲方指定账户、理财资金本金或收益被司法机关要求冻结、扣划，则乙方可以根据实际情况全额终止甲方持有的理财产品份额，并停止向甲方支付收益，由此导致的损失，甲方自行承担。</w:t>
      </w:r>
    </w:p>
    <w:p>
      <w:pPr>
        <w:rPr>
          <w:rFonts w:ascii="宋体" w:hAnsi="宋体"/>
          <w:b/>
          <w:bCs/>
          <w:sz w:val="18"/>
          <w:szCs w:val="18"/>
        </w:rPr>
      </w:pPr>
      <w:r>
        <w:rPr>
          <w:rFonts w:hint="eastAsia" w:ascii="宋体" w:hAnsi="宋体"/>
          <w:b/>
          <w:bCs/>
          <w:sz w:val="18"/>
          <w:szCs w:val="18"/>
        </w:rPr>
        <w:t>六、争议解决</w:t>
      </w:r>
    </w:p>
    <w:p>
      <w:pPr>
        <w:ind w:firstLine="360" w:firstLineChars="200"/>
        <w:rPr>
          <w:rFonts w:ascii="宋体" w:hAnsi="宋体"/>
          <w:sz w:val="18"/>
          <w:szCs w:val="18"/>
        </w:rPr>
      </w:pPr>
      <w:r>
        <w:rPr>
          <w:rFonts w:hint="eastAsia" w:ascii="宋体" w:hAnsi="宋体"/>
          <w:sz w:val="18"/>
          <w:szCs w:val="18"/>
        </w:rPr>
        <w:t>因履行本协议而引致的一切争议，双方应首先本着诚实信用原则通过协商解决。不能协商解决的，</w:t>
      </w:r>
      <w:r>
        <w:rPr>
          <w:rFonts w:hint="eastAsia" w:ascii="宋体" w:hAnsi="宋体"/>
          <w:b/>
          <w:bCs/>
          <w:sz w:val="18"/>
          <w:szCs w:val="18"/>
        </w:rPr>
        <w:t>提交乙方所在地有管辖权人民法院诉讼解决。</w:t>
      </w:r>
    </w:p>
    <w:p>
      <w:pPr>
        <w:rPr>
          <w:rFonts w:ascii="宋体" w:hAnsi="宋体"/>
          <w:b/>
          <w:bCs/>
          <w:sz w:val="18"/>
          <w:szCs w:val="18"/>
        </w:rPr>
      </w:pPr>
      <w:r>
        <w:rPr>
          <w:rFonts w:hint="eastAsia" w:ascii="宋体" w:hAnsi="宋体"/>
          <w:b/>
          <w:bCs/>
          <w:sz w:val="18"/>
          <w:szCs w:val="18"/>
        </w:rPr>
        <w:t>七、协议的成立、生效及终止</w:t>
      </w:r>
    </w:p>
    <w:p>
      <w:pPr>
        <w:ind w:firstLine="360" w:firstLineChars="200"/>
        <w:rPr>
          <w:rFonts w:ascii="宋体" w:hAnsi="宋体"/>
          <w:b/>
          <w:bCs/>
          <w:sz w:val="18"/>
          <w:szCs w:val="18"/>
        </w:rPr>
      </w:pPr>
      <w:r>
        <w:rPr>
          <w:rFonts w:hint="eastAsia" w:ascii="宋体" w:hAnsi="宋体"/>
          <w:sz w:val="18"/>
          <w:szCs w:val="18"/>
        </w:rPr>
        <w:t>1、本协议通过乙方柜面签署的，在甲方</w:t>
      </w:r>
      <w:r>
        <w:rPr>
          <w:rFonts w:hint="eastAsia" w:ascii="宋体" w:hAnsi="宋体"/>
          <w:sz w:val="18"/>
          <w:szCs w:val="18"/>
          <w:lang w:eastAsia="zh-CN"/>
        </w:rPr>
        <w:t>签名或按指印</w:t>
      </w:r>
      <w:r>
        <w:rPr>
          <w:rFonts w:hint="eastAsia" w:ascii="宋体" w:hAnsi="宋体"/>
          <w:sz w:val="18"/>
          <w:szCs w:val="18"/>
        </w:rPr>
        <w:t>（甲方为自然人）或甲方加盖</w:t>
      </w:r>
      <w:r>
        <w:rPr>
          <w:rFonts w:hint="eastAsia" w:ascii="宋体" w:hAnsi="宋体"/>
          <w:sz w:val="18"/>
          <w:szCs w:val="18"/>
          <w:lang w:eastAsia="zh-CN"/>
        </w:rPr>
        <w:t>预留印鉴</w:t>
      </w:r>
      <w:r>
        <w:rPr>
          <w:rFonts w:hint="eastAsia" w:ascii="宋体" w:hAnsi="宋体"/>
          <w:sz w:val="18"/>
          <w:szCs w:val="18"/>
        </w:rPr>
        <w:t>（甲方为机构）且乙方加盖业务章之日起成立；</w:t>
      </w:r>
      <w:r>
        <w:rPr>
          <w:rFonts w:hint="eastAsia" w:ascii="宋体" w:hAnsi="宋体"/>
          <w:b/>
          <w:bCs/>
          <w:sz w:val="18"/>
          <w:szCs w:val="18"/>
        </w:rPr>
        <w:t>本协议通过乙方网上银行、手机银行、VTM等电子渠道签署的，自甲方（自然人/机构）在电子渠道端自行点击确认后成立。</w:t>
      </w:r>
    </w:p>
    <w:p>
      <w:pPr>
        <w:ind w:firstLine="361" w:firstLineChars="200"/>
        <w:rPr>
          <w:rFonts w:ascii="宋体" w:hAnsi="宋体"/>
          <w:b/>
          <w:bCs/>
          <w:sz w:val="18"/>
          <w:szCs w:val="18"/>
        </w:rPr>
      </w:pPr>
      <w:r>
        <w:rPr>
          <w:rFonts w:hint="eastAsia" w:ascii="宋体" w:hAnsi="宋体"/>
          <w:b/>
          <w:bCs/>
          <w:sz w:val="18"/>
          <w:szCs w:val="18"/>
        </w:rPr>
        <w:t>2、本协议自成立时生效，自甲方不再持有理财产品时终止。理财产品不成立、甲方按照产品说明书约定撤单、甲方认购资金不足或账户异常导致乙方未成功扣划理财资金的，本协议自动终止。</w:t>
      </w:r>
    </w:p>
    <w:p>
      <w:pPr>
        <w:ind w:firstLine="361" w:firstLineChars="200"/>
        <w:rPr>
          <w:rFonts w:ascii="宋体" w:hAnsi="宋体"/>
          <w:b/>
          <w:bCs/>
          <w:sz w:val="18"/>
          <w:szCs w:val="18"/>
        </w:rPr>
      </w:pPr>
      <w:r>
        <w:rPr>
          <w:rFonts w:hint="eastAsia" w:ascii="宋体" w:hAnsi="宋体"/>
          <w:b/>
          <w:bCs/>
          <w:sz w:val="18"/>
          <w:szCs w:val="18"/>
        </w:rPr>
        <w:t>3、本协议未尽事宜，以《产品说明书》、《风险揭示书》、《投资者权益须知》的内容为准，本协议内容与《产品说明书》不一致的，以《产品说明书》为准。</w:t>
      </w:r>
    </w:p>
    <w:p>
      <w:pPr>
        <w:ind w:firstLine="360" w:firstLineChars="200"/>
        <w:rPr>
          <w:rFonts w:ascii="宋体" w:hAnsi="宋体"/>
          <w:sz w:val="18"/>
          <w:szCs w:val="18"/>
        </w:rPr>
      </w:pPr>
      <w:r>
        <w:rPr>
          <w:rFonts w:hint="eastAsia" w:ascii="宋体" w:hAnsi="宋体"/>
          <w:sz w:val="18"/>
          <w:szCs w:val="18"/>
        </w:rPr>
        <w:t>4、本协议仅适用于甲方向乙方购买的单笔个人/机构理财产品。不同笔理财产品协议书的效力及其履行情况相互独立。</w:t>
      </w:r>
    </w:p>
    <w:p>
      <w:pPr>
        <w:ind w:firstLine="361" w:firstLineChars="200"/>
        <w:rPr>
          <w:rFonts w:ascii="宋体" w:hAnsi="宋体"/>
          <w:b/>
          <w:bCs/>
          <w:sz w:val="18"/>
          <w:szCs w:val="18"/>
        </w:rPr>
      </w:pPr>
      <w:r>
        <w:rPr>
          <w:rFonts w:hint="eastAsia" w:ascii="宋体" w:hAnsi="宋体"/>
          <w:b/>
          <w:bCs/>
          <w:sz w:val="18"/>
          <w:szCs w:val="18"/>
        </w:rPr>
        <w:t>5、对于甲方通过乙方的网上银行、手机银行、VTM等电子渠道购买的理财产品（不受限于本产品），甲方确认其在电子渠道通过本人的登录账户点击确认为有效的签名行为，并确认乙方电子渠道的系统记录构成对甲方的操作行为（包括但不限于购买、赎回、撤单）的证据，并且在双方发生争议时可以作为合法有效的证据使用。</w:t>
      </w:r>
    </w:p>
    <w:p>
      <w:pPr>
        <w:rPr>
          <w:rFonts w:ascii="宋体" w:hAnsi="宋体"/>
          <w:b/>
          <w:bCs/>
          <w:sz w:val="18"/>
          <w:szCs w:val="18"/>
        </w:rPr>
      </w:pPr>
      <w:r>
        <w:rPr>
          <w:rFonts w:hint="eastAsia" w:ascii="宋体" w:hAnsi="宋体"/>
          <w:b/>
          <w:bCs/>
          <w:sz w:val="18"/>
          <w:szCs w:val="18"/>
        </w:rPr>
        <w:t>八、附则</w:t>
      </w:r>
    </w:p>
    <w:p>
      <w:pPr>
        <w:ind w:firstLine="361" w:firstLineChars="200"/>
        <w:rPr>
          <w:rFonts w:ascii="宋体" w:hAnsi="宋体"/>
          <w:b/>
          <w:bCs/>
          <w:sz w:val="18"/>
          <w:szCs w:val="18"/>
        </w:rPr>
      </w:pPr>
      <w:r>
        <w:rPr>
          <w:rFonts w:hint="eastAsia" w:ascii="宋体" w:hAnsi="宋体"/>
          <w:b/>
          <w:bCs/>
          <w:sz w:val="18"/>
          <w:szCs w:val="18"/>
        </w:rPr>
        <w:t>1、理财产品交易信息表（柜面购买本产品情形下）为本协议不可分割的组成部分。本协议书与《理财产品说明书》、《风险揭示书》、《投资者权益须知》共同构成完整不可分割的理财产品合同。甲方仅在详细阅读并理解本协议、《理财产品说明书》、《风险揭示书》、《投资者权益须知》全部销售文件并确认《风险揭示书》后方可签署本协议，签署本协议，即为签署理财产品合同。</w:t>
      </w:r>
    </w:p>
    <w:p>
      <w:pPr>
        <w:ind w:firstLine="360" w:firstLineChars="200"/>
        <w:rPr>
          <w:rFonts w:ascii="宋体" w:hAnsi="宋体"/>
          <w:sz w:val="18"/>
          <w:szCs w:val="18"/>
        </w:rPr>
      </w:pPr>
      <w:r>
        <w:rPr>
          <w:rFonts w:hint="eastAsia" w:ascii="宋体" w:hAnsi="宋体"/>
          <w:sz w:val="18"/>
          <w:szCs w:val="18"/>
        </w:rPr>
        <w:t>2、本协议一式两份，甲乙双方各执一份，具有同等法律效力。</w:t>
      </w:r>
    </w:p>
    <w:p>
      <w:pPr>
        <w:pBdr>
          <w:top w:val="single" w:color="auto" w:sz="4" w:space="0"/>
          <w:left w:val="single" w:color="auto" w:sz="4" w:space="0"/>
          <w:bottom w:val="single" w:color="auto" w:sz="4" w:space="0"/>
          <w:right w:val="single" w:color="auto" w:sz="4" w:space="0"/>
        </w:pBdr>
        <w:spacing w:line="320" w:lineRule="exact"/>
        <w:ind w:firstLine="422" w:firstLineChars="200"/>
        <w:rPr>
          <w:rFonts w:ascii="宋体" w:hAnsi="宋体" w:cs="宋体"/>
          <w:b/>
          <w:bCs/>
          <w:i/>
          <w:iCs/>
          <w:szCs w:val="21"/>
          <w:u w:val="single"/>
        </w:rPr>
      </w:pPr>
      <w:r>
        <w:rPr>
          <w:rFonts w:hint="eastAsia" w:ascii="宋体" w:hAnsi="宋体" w:cs="宋体"/>
          <w:b/>
          <w:bCs/>
          <w:i/>
          <w:iCs/>
          <w:szCs w:val="21"/>
          <w:u w:val="single"/>
        </w:rPr>
        <w:t>特别提示：甲方已经阅读《理财产品协议书》、《投资者权益须知》、《风险揭示书》及《理财产品说明书》所有条款，并充分了解该产品可能存在的风险情况及最不利投资情形。本产品销售机构已提请甲方特别注意以上文本约定的有关免除或减轻乙方责任，和乙方单方面拥有某些权利，以及增加甲方义务或限制甲方权利等与甲方有重大利害关系的条款，尤其是加粗、斜体、加框条款，如风险提示、最不利投资情形、甲方声明与承诺、乙方免责、争议解决、合同成立生效、信息披露、质押、产品业绩比较基准、投资范围、成立及到期、赎回、费用、估值等产品基本要素条款等，并应甲方要求进行了充分解释。</w:t>
      </w: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r>
        <w:rPr>
          <w:rFonts w:hint="eastAsia" w:ascii="宋体" w:hAnsi="宋体" w:cs="宋体"/>
          <w:sz w:val="18"/>
          <w:szCs w:val="18"/>
        </w:rPr>
        <w:t>甲方                                          乙方（</w:t>
      </w:r>
      <w:r>
        <w:rPr>
          <w:rFonts w:hint="eastAsia" w:ascii="宋体" w:hAnsi="宋体" w:cs="宋体"/>
          <w:sz w:val="18"/>
          <w:szCs w:val="18"/>
          <w:lang w:eastAsia="zh-CN"/>
        </w:rPr>
        <w:t>业务章</w:t>
      </w:r>
      <w:r>
        <w:rPr>
          <w:rFonts w:hint="eastAsia" w:ascii="宋体" w:hAnsi="宋体" w:cs="宋体"/>
          <w:sz w:val="18"/>
          <w:szCs w:val="18"/>
        </w:rPr>
        <w:t>）：</w:t>
      </w: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r>
        <w:rPr>
          <w:rFonts w:hint="eastAsia" w:ascii="宋体" w:hAnsi="宋体" w:cs="宋体"/>
          <w:sz w:val="18"/>
          <w:szCs w:val="18"/>
        </w:rPr>
        <w:t xml:space="preserve">  机构</w:t>
      </w:r>
      <w:r>
        <w:rPr>
          <w:rFonts w:hint="eastAsia" w:ascii="宋体" w:hAnsi="宋体" w:cs="宋体"/>
          <w:sz w:val="18"/>
          <w:szCs w:val="18"/>
          <w:lang w:eastAsia="zh-CN"/>
        </w:rPr>
        <w:t>投资者</w:t>
      </w:r>
      <w:r>
        <w:rPr>
          <w:rFonts w:hint="eastAsia" w:ascii="宋体" w:hAnsi="宋体" w:cs="宋体"/>
          <w:sz w:val="18"/>
          <w:szCs w:val="18"/>
        </w:rPr>
        <w:t>（</w:t>
      </w:r>
      <w:r>
        <w:rPr>
          <w:rFonts w:hint="eastAsia" w:ascii="宋体" w:hAnsi="宋体" w:cs="宋体"/>
          <w:sz w:val="18"/>
          <w:szCs w:val="18"/>
          <w:lang w:eastAsia="zh-CN"/>
        </w:rPr>
        <w:t>预留印鉴</w:t>
      </w:r>
      <w:r>
        <w:rPr>
          <w:rFonts w:hint="eastAsia" w:ascii="宋体" w:hAnsi="宋体" w:cs="宋体"/>
          <w:sz w:val="18"/>
          <w:szCs w:val="18"/>
        </w:rPr>
        <w:t>）：</w:t>
      </w: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r>
        <w:rPr>
          <w:rFonts w:hint="eastAsia" w:ascii="宋体" w:hAnsi="宋体" w:cs="宋体"/>
          <w:sz w:val="18"/>
          <w:szCs w:val="18"/>
        </w:rPr>
        <w:t xml:space="preserve">  个人</w:t>
      </w:r>
      <w:r>
        <w:rPr>
          <w:rFonts w:hint="eastAsia" w:ascii="宋体" w:hAnsi="宋体" w:cs="宋体"/>
          <w:sz w:val="18"/>
          <w:szCs w:val="18"/>
          <w:lang w:eastAsia="zh-CN"/>
        </w:rPr>
        <w:t>投资者</w:t>
      </w:r>
      <w:r>
        <w:rPr>
          <w:rFonts w:hint="eastAsia" w:ascii="宋体" w:hAnsi="宋体" w:cs="宋体"/>
          <w:sz w:val="18"/>
          <w:szCs w:val="18"/>
        </w:rPr>
        <w:t>（</w:t>
      </w:r>
      <w:r>
        <w:rPr>
          <w:rFonts w:hint="eastAsia" w:ascii="宋体" w:hAnsi="宋体" w:cs="宋体"/>
          <w:sz w:val="18"/>
          <w:szCs w:val="18"/>
          <w:lang w:eastAsia="zh-CN"/>
        </w:rPr>
        <w:t>签名或按指印</w:t>
      </w:r>
      <w:r>
        <w:rPr>
          <w:rFonts w:hint="eastAsia" w:ascii="宋体" w:hAnsi="宋体" w:cs="宋体"/>
          <w:sz w:val="18"/>
          <w:szCs w:val="18"/>
        </w:rPr>
        <w:t>）：</w:t>
      </w:r>
    </w:p>
    <w:p>
      <w:pPr>
        <w:pBdr>
          <w:top w:val="single" w:color="auto" w:sz="4" w:space="0"/>
          <w:left w:val="single" w:color="auto" w:sz="4" w:space="0"/>
          <w:bottom w:val="single" w:color="auto" w:sz="4" w:space="0"/>
          <w:right w:val="single" w:color="auto" w:sz="4" w:space="0"/>
        </w:pBdr>
        <w:spacing w:line="320" w:lineRule="exact"/>
        <w:rPr>
          <w:rFonts w:ascii="宋体" w:hAnsi="宋体" w:cs="宋体"/>
          <w:sz w:val="18"/>
          <w:szCs w:val="18"/>
        </w:rPr>
      </w:pPr>
    </w:p>
    <w:p>
      <w:pPr>
        <w:pBdr>
          <w:top w:val="single" w:color="auto" w:sz="4" w:space="0"/>
          <w:left w:val="single" w:color="auto" w:sz="4" w:space="0"/>
          <w:bottom w:val="single" w:color="auto" w:sz="4" w:space="0"/>
          <w:right w:val="single" w:color="auto" w:sz="4" w:space="0"/>
        </w:pBdr>
        <w:snapToGrid/>
        <w:spacing w:beforeLines="0" w:line="320" w:lineRule="exact"/>
        <w:jc w:val="both"/>
      </w:pPr>
      <w:r>
        <w:rPr>
          <w:rFonts w:hint="eastAsia" w:ascii="宋体" w:hAnsi="宋体" w:cs="宋体"/>
          <w:sz w:val="18"/>
          <w:szCs w:val="18"/>
        </w:rPr>
        <w:t xml:space="preserve">  日期：                                        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t>5</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6608C"/>
    <w:multiLevelType w:val="multilevel"/>
    <w:tmpl w:val="5BD6608C"/>
    <w:lvl w:ilvl="0" w:tentative="0">
      <w:start w:val="1"/>
      <w:numFmt w:val="bullet"/>
      <w:lvlText w:val=""/>
      <w:lvlJc w:val="left"/>
      <w:pPr>
        <w:tabs>
          <w:tab w:val="left" w:pos="0"/>
        </w:tabs>
        <w:ind w:left="227" w:hanging="227"/>
      </w:pPr>
      <w:rPr>
        <w:rFonts w:hint="default" w:ascii="Wingdings" w:hAnsi="Wingdings"/>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D098CC8"/>
    <w:multiLevelType w:val="singleLevel"/>
    <w:tmpl w:val="5D098CC8"/>
    <w:lvl w:ilvl="0" w:tentative="0">
      <w:start w:val="1"/>
      <w:numFmt w:val="decimal"/>
      <w:suff w:val="nothing"/>
      <w:lvlText w:val="%1、"/>
      <w:lvlJc w:val="left"/>
      <w:rPr>
        <w:rFonts w:cs="Times New Roman"/>
      </w:rPr>
    </w:lvl>
  </w:abstractNum>
  <w:abstractNum w:abstractNumId="2">
    <w:nsid w:val="5E79D715"/>
    <w:multiLevelType w:val="singleLevel"/>
    <w:tmpl w:val="5E79D71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erry1" w:val="101"/>
    <w:docVar w:name="sherry2" w:val="ZYAX12M101"/>
    <w:docVar w:name="sherry3" w:val="2020年1月22日"/>
    <w:docVar w:name="sherry4" w:val="2020年2月4日"/>
    <w:docVar w:name="sherry5" w:val="2020年2月5日"/>
    <w:docVar w:name="sherry6" w:val="2021年2月3日"/>
    <w:docVar w:name="sherry7" w:val="364"/>
    <w:docVar w:name="sherry8" w:val="4.20%"/>
  </w:docVars>
  <w:rsids>
    <w:rsidRoot w:val="00172A27"/>
    <w:rsid w:val="00000D68"/>
    <w:rsid w:val="000027BD"/>
    <w:rsid w:val="00002E97"/>
    <w:rsid w:val="00004F37"/>
    <w:rsid w:val="00006269"/>
    <w:rsid w:val="0001135D"/>
    <w:rsid w:val="0001614C"/>
    <w:rsid w:val="000200A7"/>
    <w:rsid w:val="000309B4"/>
    <w:rsid w:val="00037BF0"/>
    <w:rsid w:val="00040800"/>
    <w:rsid w:val="00046F90"/>
    <w:rsid w:val="00050D3D"/>
    <w:rsid w:val="00050F51"/>
    <w:rsid w:val="00052A6F"/>
    <w:rsid w:val="000572BC"/>
    <w:rsid w:val="000620BD"/>
    <w:rsid w:val="000705DB"/>
    <w:rsid w:val="00071348"/>
    <w:rsid w:val="00073CF2"/>
    <w:rsid w:val="00082576"/>
    <w:rsid w:val="00082D74"/>
    <w:rsid w:val="00083C00"/>
    <w:rsid w:val="000904BB"/>
    <w:rsid w:val="00092518"/>
    <w:rsid w:val="00092599"/>
    <w:rsid w:val="000940EC"/>
    <w:rsid w:val="000A26AD"/>
    <w:rsid w:val="000A38CD"/>
    <w:rsid w:val="000B1565"/>
    <w:rsid w:val="000B1658"/>
    <w:rsid w:val="000C092F"/>
    <w:rsid w:val="000C119D"/>
    <w:rsid w:val="000C7D50"/>
    <w:rsid w:val="000D0084"/>
    <w:rsid w:val="000D0DBD"/>
    <w:rsid w:val="000D188C"/>
    <w:rsid w:val="000D6471"/>
    <w:rsid w:val="000D6D34"/>
    <w:rsid w:val="000D734B"/>
    <w:rsid w:val="000E04D1"/>
    <w:rsid w:val="000E19FF"/>
    <w:rsid w:val="000E2396"/>
    <w:rsid w:val="000E23AF"/>
    <w:rsid w:val="000E45A0"/>
    <w:rsid w:val="00103275"/>
    <w:rsid w:val="00105006"/>
    <w:rsid w:val="00114AC6"/>
    <w:rsid w:val="0011597F"/>
    <w:rsid w:val="00120D29"/>
    <w:rsid w:val="00122062"/>
    <w:rsid w:val="00124677"/>
    <w:rsid w:val="00137098"/>
    <w:rsid w:val="00141EC0"/>
    <w:rsid w:val="0014641D"/>
    <w:rsid w:val="00162E94"/>
    <w:rsid w:val="00163B21"/>
    <w:rsid w:val="00172A27"/>
    <w:rsid w:val="00177041"/>
    <w:rsid w:val="00177C69"/>
    <w:rsid w:val="0018231F"/>
    <w:rsid w:val="00183BCC"/>
    <w:rsid w:val="0018612E"/>
    <w:rsid w:val="001877F9"/>
    <w:rsid w:val="0019014E"/>
    <w:rsid w:val="00192B95"/>
    <w:rsid w:val="00193245"/>
    <w:rsid w:val="001A610C"/>
    <w:rsid w:val="001A7D16"/>
    <w:rsid w:val="001A7F2B"/>
    <w:rsid w:val="001B0F60"/>
    <w:rsid w:val="001B7B35"/>
    <w:rsid w:val="001D6EDD"/>
    <w:rsid w:val="001E2117"/>
    <w:rsid w:val="001E728C"/>
    <w:rsid w:val="001F12FF"/>
    <w:rsid w:val="001F18D9"/>
    <w:rsid w:val="001F720C"/>
    <w:rsid w:val="00204045"/>
    <w:rsid w:val="002047A0"/>
    <w:rsid w:val="002117AD"/>
    <w:rsid w:val="002162BC"/>
    <w:rsid w:val="00216C80"/>
    <w:rsid w:val="002258C7"/>
    <w:rsid w:val="0023131A"/>
    <w:rsid w:val="00234B1F"/>
    <w:rsid w:val="002355E3"/>
    <w:rsid w:val="002358E2"/>
    <w:rsid w:val="002406FA"/>
    <w:rsid w:val="00244E03"/>
    <w:rsid w:val="00246300"/>
    <w:rsid w:val="0024645B"/>
    <w:rsid w:val="00252EA7"/>
    <w:rsid w:val="00254D26"/>
    <w:rsid w:val="00263FEF"/>
    <w:rsid w:val="00264D16"/>
    <w:rsid w:val="00272EFE"/>
    <w:rsid w:val="00284192"/>
    <w:rsid w:val="0028792B"/>
    <w:rsid w:val="0029733A"/>
    <w:rsid w:val="00297BAD"/>
    <w:rsid w:val="002B10DD"/>
    <w:rsid w:val="002B7661"/>
    <w:rsid w:val="002C0425"/>
    <w:rsid w:val="002C2646"/>
    <w:rsid w:val="002C353D"/>
    <w:rsid w:val="002C3A1C"/>
    <w:rsid w:val="002C5EA8"/>
    <w:rsid w:val="002D5BEE"/>
    <w:rsid w:val="002D6A90"/>
    <w:rsid w:val="002D747A"/>
    <w:rsid w:val="002F3337"/>
    <w:rsid w:val="002F71CD"/>
    <w:rsid w:val="00301769"/>
    <w:rsid w:val="003020E6"/>
    <w:rsid w:val="00305F34"/>
    <w:rsid w:val="0031770F"/>
    <w:rsid w:val="00323BEA"/>
    <w:rsid w:val="0032433B"/>
    <w:rsid w:val="0032434A"/>
    <w:rsid w:val="00331B62"/>
    <w:rsid w:val="00334E08"/>
    <w:rsid w:val="0033621C"/>
    <w:rsid w:val="0034091D"/>
    <w:rsid w:val="0034102D"/>
    <w:rsid w:val="00353046"/>
    <w:rsid w:val="0035333B"/>
    <w:rsid w:val="00357F9C"/>
    <w:rsid w:val="00360556"/>
    <w:rsid w:val="0036056B"/>
    <w:rsid w:val="003624BB"/>
    <w:rsid w:val="00362E77"/>
    <w:rsid w:val="00367062"/>
    <w:rsid w:val="00367FC8"/>
    <w:rsid w:val="00371957"/>
    <w:rsid w:val="00371E84"/>
    <w:rsid w:val="00374C4E"/>
    <w:rsid w:val="00376C78"/>
    <w:rsid w:val="003812D4"/>
    <w:rsid w:val="00393716"/>
    <w:rsid w:val="00393F48"/>
    <w:rsid w:val="0039465A"/>
    <w:rsid w:val="003974A7"/>
    <w:rsid w:val="003A0DD2"/>
    <w:rsid w:val="003A381D"/>
    <w:rsid w:val="003A630B"/>
    <w:rsid w:val="003B0FE0"/>
    <w:rsid w:val="003B480F"/>
    <w:rsid w:val="003B5C6E"/>
    <w:rsid w:val="003C0A3E"/>
    <w:rsid w:val="003C3778"/>
    <w:rsid w:val="003C4812"/>
    <w:rsid w:val="003C7401"/>
    <w:rsid w:val="003D11AC"/>
    <w:rsid w:val="003D3CB2"/>
    <w:rsid w:val="003F4C92"/>
    <w:rsid w:val="003F544F"/>
    <w:rsid w:val="003F65E8"/>
    <w:rsid w:val="0040117D"/>
    <w:rsid w:val="004075BE"/>
    <w:rsid w:val="00413D5E"/>
    <w:rsid w:val="00415078"/>
    <w:rsid w:val="0042054B"/>
    <w:rsid w:val="00424027"/>
    <w:rsid w:val="00430B9B"/>
    <w:rsid w:val="00435BAC"/>
    <w:rsid w:val="0044019E"/>
    <w:rsid w:val="004402E9"/>
    <w:rsid w:val="00456A72"/>
    <w:rsid w:val="00461520"/>
    <w:rsid w:val="00461C7A"/>
    <w:rsid w:val="00464198"/>
    <w:rsid w:val="00467882"/>
    <w:rsid w:val="00470ED3"/>
    <w:rsid w:val="00472CCE"/>
    <w:rsid w:val="004767CF"/>
    <w:rsid w:val="00480262"/>
    <w:rsid w:val="00480B5E"/>
    <w:rsid w:val="00482F95"/>
    <w:rsid w:val="00493961"/>
    <w:rsid w:val="0049461D"/>
    <w:rsid w:val="00494DDA"/>
    <w:rsid w:val="00494FAF"/>
    <w:rsid w:val="004A3131"/>
    <w:rsid w:val="004A680C"/>
    <w:rsid w:val="004A72BB"/>
    <w:rsid w:val="004B064D"/>
    <w:rsid w:val="004B7242"/>
    <w:rsid w:val="004C17AD"/>
    <w:rsid w:val="004C17BA"/>
    <w:rsid w:val="004C5977"/>
    <w:rsid w:val="004C5AF5"/>
    <w:rsid w:val="004D224A"/>
    <w:rsid w:val="004D313B"/>
    <w:rsid w:val="004D7425"/>
    <w:rsid w:val="004D7CA4"/>
    <w:rsid w:val="004F1635"/>
    <w:rsid w:val="004F1C97"/>
    <w:rsid w:val="004F2B13"/>
    <w:rsid w:val="004F7B79"/>
    <w:rsid w:val="00501909"/>
    <w:rsid w:val="00503782"/>
    <w:rsid w:val="0050676E"/>
    <w:rsid w:val="00514DA9"/>
    <w:rsid w:val="0051556B"/>
    <w:rsid w:val="00517965"/>
    <w:rsid w:val="00522C55"/>
    <w:rsid w:val="00525F65"/>
    <w:rsid w:val="00527D69"/>
    <w:rsid w:val="0053203F"/>
    <w:rsid w:val="00534844"/>
    <w:rsid w:val="00536AE6"/>
    <w:rsid w:val="00541708"/>
    <w:rsid w:val="00543FCD"/>
    <w:rsid w:val="00557DE4"/>
    <w:rsid w:val="005601D1"/>
    <w:rsid w:val="00561CD8"/>
    <w:rsid w:val="005665B9"/>
    <w:rsid w:val="0057346D"/>
    <w:rsid w:val="00574AD6"/>
    <w:rsid w:val="00581DCD"/>
    <w:rsid w:val="00596E70"/>
    <w:rsid w:val="005973FA"/>
    <w:rsid w:val="005A1E71"/>
    <w:rsid w:val="005A2C9F"/>
    <w:rsid w:val="005A41DF"/>
    <w:rsid w:val="005A55D2"/>
    <w:rsid w:val="005C10FB"/>
    <w:rsid w:val="005C5ED5"/>
    <w:rsid w:val="005D108F"/>
    <w:rsid w:val="005D1594"/>
    <w:rsid w:val="005E1A0D"/>
    <w:rsid w:val="005E2307"/>
    <w:rsid w:val="005E2ADE"/>
    <w:rsid w:val="005E7EFD"/>
    <w:rsid w:val="005F01A4"/>
    <w:rsid w:val="005F0AE6"/>
    <w:rsid w:val="006024E4"/>
    <w:rsid w:val="00607855"/>
    <w:rsid w:val="00612D21"/>
    <w:rsid w:val="00612DDD"/>
    <w:rsid w:val="006248DB"/>
    <w:rsid w:val="00626FFE"/>
    <w:rsid w:val="006323A6"/>
    <w:rsid w:val="006331A9"/>
    <w:rsid w:val="006413A7"/>
    <w:rsid w:val="006450DA"/>
    <w:rsid w:val="00651ECA"/>
    <w:rsid w:val="006520D2"/>
    <w:rsid w:val="0065540E"/>
    <w:rsid w:val="00661E10"/>
    <w:rsid w:val="0066439A"/>
    <w:rsid w:val="006675AD"/>
    <w:rsid w:val="00667F58"/>
    <w:rsid w:val="006740C6"/>
    <w:rsid w:val="0068493A"/>
    <w:rsid w:val="00684A77"/>
    <w:rsid w:val="00686FC8"/>
    <w:rsid w:val="00696D72"/>
    <w:rsid w:val="006A2A3F"/>
    <w:rsid w:val="006A5A3C"/>
    <w:rsid w:val="006B5758"/>
    <w:rsid w:val="006B7049"/>
    <w:rsid w:val="006B7CF4"/>
    <w:rsid w:val="006C0B20"/>
    <w:rsid w:val="006C594D"/>
    <w:rsid w:val="006D5F2D"/>
    <w:rsid w:val="006E5A04"/>
    <w:rsid w:val="006F584E"/>
    <w:rsid w:val="007119A1"/>
    <w:rsid w:val="0071290A"/>
    <w:rsid w:val="007200CF"/>
    <w:rsid w:val="0073261C"/>
    <w:rsid w:val="00734C13"/>
    <w:rsid w:val="007362D1"/>
    <w:rsid w:val="007430A8"/>
    <w:rsid w:val="00751749"/>
    <w:rsid w:val="007538F6"/>
    <w:rsid w:val="00755143"/>
    <w:rsid w:val="0075595E"/>
    <w:rsid w:val="007613EF"/>
    <w:rsid w:val="00762C40"/>
    <w:rsid w:val="00762C46"/>
    <w:rsid w:val="00767C3E"/>
    <w:rsid w:val="0079155E"/>
    <w:rsid w:val="007A1F1C"/>
    <w:rsid w:val="007A6F41"/>
    <w:rsid w:val="007A6FBC"/>
    <w:rsid w:val="007A7049"/>
    <w:rsid w:val="007A79E4"/>
    <w:rsid w:val="007B095C"/>
    <w:rsid w:val="007B3166"/>
    <w:rsid w:val="007B7DA1"/>
    <w:rsid w:val="007C6F57"/>
    <w:rsid w:val="007C7860"/>
    <w:rsid w:val="007D0741"/>
    <w:rsid w:val="007D3A23"/>
    <w:rsid w:val="007D4FD0"/>
    <w:rsid w:val="007D6A69"/>
    <w:rsid w:val="007E6D85"/>
    <w:rsid w:val="007F00A7"/>
    <w:rsid w:val="007F1951"/>
    <w:rsid w:val="007F1C38"/>
    <w:rsid w:val="007F2B72"/>
    <w:rsid w:val="007F45CA"/>
    <w:rsid w:val="007F6EC2"/>
    <w:rsid w:val="007F7762"/>
    <w:rsid w:val="00804631"/>
    <w:rsid w:val="008059BC"/>
    <w:rsid w:val="008066AB"/>
    <w:rsid w:val="00810D44"/>
    <w:rsid w:val="008125BE"/>
    <w:rsid w:val="00812EEC"/>
    <w:rsid w:val="00813225"/>
    <w:rsid w:val="00815B3E"/>
    <w:rsid w:val="00816ADA"/>
    <w:rsid w:val="00833F0D"/>
    <w:rsid w:val="008347F9"/>
    <w:rsid w:val="00836882"/>
    <w:rsid w:val="00837D56"/>
    <w:rsid w:val="00841E56"/>
    <w:rsid w:val="008424A3"/>
    <w:rsid w:val="008458CB"/>
    <w:rsid w:val="0085133C"/>
    <w:rsid w:val="0085517A"/>
    <w:rsid w:val="00856C2E"/>
    <w:rsid w:val="0085700D"/>
    <w:rsid w:val="00863805"/>
    <w:rsid w:val="00864C31"/>
    <w:rsid w:val="0086521D"/>
    <w:rsid w:val="00867A2A"/>
    <w:rsid w:val="00870DF5"/>
    <w:rsid w:val="00875E90"/>
    <w:rsid w:val="0087791B"/>
    <w:rsid w:val="008827EA"/>
    <w:rsid w:val="00885156"/>
    <w:rsid w:val="00886D6C"/>
    <w:rsid w:val="00891A8E"/>
    <w:rsid w:val="00895C07"/>
    <w:rsid w:val="0089715A"/>
    <w:rsid w:val="008A1440"/>
    <w:rsid w:val="008A27F7"/>
    <w:rsid w:val="008A345E"/>
    <w:rsid w:val="008A4471"/>
    <w:rsid w:val="008B10ED"/>
    <w:rsid w:val="008B4B30"/>
    <w:rsid w:val="008B60E2"/>
    <w:rsid w:val="008D1F6C"/>
    <w:rsid w:val="008D69B7"/>
    <w:rsid w:val="008D726D"/>
    <w:rsid w:val="008E50F3"/>
    <w:rsid w:val="008F1ABD"/>
    <w:rsid w:val="008F7CC3"/>
    <w:rsid w:val="00907A3C"/>
    <w:rsid w:val="009153FF"/>
    <w:rsid w:val="00921E38"/>
    <w:rsid w:val="009257A0"/>
    <w:rsid w:val="009276E1"/>
    <w:rsid w:val="009428E7"/>
    <w:rsid w:val="00947326"/>
    <w:rsid w:val="00950070"/>
    <w:rsid w:val="00960A43"/>
    <w:rsid w:val="0096310B"/>
    <w:rsid w:val="009633BC"/>
    <w:rsid w:val="009740E1"/>
    <w:rsid w:val="0097512E"/>
    <w:rsid w:val="0097605E"/>
    <w:rsid w:val="009770C3"/>
    <w:rsid w:val="00977511"/>
    <w:rsid w:val="00980552"/>
    <w:rsid w:val="0099340D"/>
    <w:rsid w:val="009949C4"/>
    <w:rsid w:val="009A1701"/>
    <w:rsid w:val="009B04B1"/>
    <w:rsid w:val="009B2387"/>
    <w:rsid w:val="009C1267"/>
    <w:rsid w:val="009C6675"/>
    <w:rsid w:val="009C6BF3"/>
    <w:rsid w:val="009C7092"/>
    <w:rsid w:val="009D33A0"/>
    <w:rsid w:val="009D7CF5"/>
    <w:rsid w:val="009D7DE3"/>
    <w:rsid w:val="009E2CA4"/>
    <w:rsid w:val="009E6637"/>
    <w:rsid w:val="009F2F46"/>
    <w:rsid w:val="009F44C1"/>
    <w:rsid w:val="009F476D"/>
    <w:rsid w:val="009F4E97"/>
    <w:rsid w:val="00A02D36"/>
    <w:rsid w:val="00A06E1A"/>
    <w:rsid w:val="00A0799C"/>
    <w:rsid w:val="00A12AC0"/>
    <w:rsid w:val="00A14888"/>
    <w:rsid w:val="00A15456"/>
    <w:rsid w:val="00A159A2"/>
    <w:rsid w:val="00A17A52"/>
    <w:rsid w:val="00A22F6C"/>
    <w:rsid w:val="00A23489"/>
    <w:rsid w:val="00A248F7"/>
    <w:rsid w:val="00A25C76"/>
    <w:rsid w:val="00A27138"/>
    <w:rsid w:val="00A309BE"/>
    <w:rsid w:val="00A35902"/>
    <w:rsid w:val="00A41517"/>
    <w:rsid w:val="00A44631"/>
    <w:rsid w:val="00A46B3C"/>
    <w:rsid w:val="00A50647"/>
    <w:rsid w:val="00A5311F"/>
    <w:rsid w:val="00A532DF"/>
    <w:rsid w:val="00A60FF4"/>
    <w:rsid w:val="00A62098"/>
    <w:rsid w:val="00A648E7"/>
    <w:rsid w:val="00A6706A"/>
    <w:rsid w:val="00A67218"/>
    <w:rsid w:val="00A71E4E"/>
    <w:rsid w:val="00A735C0"/>
    <w:rsid w:val="00A8022E"/>
    <w:rsid w:val="00A81922"/>
    <w:rsid w:val="00A90C90"/>
    <w:rsid w:val="00A91AB9"/>
    <w:rsid w:val="00A91F30"/>
    <w:rsid w:val="00A92645"/>
    <w:rsid w:val="00A96F1B"/>
    <w:rsid w:val="00A97361"/>
    <w:rsid w:val="00AA3A62"/>
    <w:rsid w:val="00AA5FCC"/>
    <w:rsid w:val="00AB3F6F"/>
    <w:rsid w:val="00AB5088"/>
    <w:rsid w:val="00AB58EE"/>
    <w:rsid w:val="00AC655C"/>
    <w:rsid w:val="00AD4D7B"/>
    <w:rsid w:val="00AE50AD"/>
    <w:rsid w:val="00AE67B8"/>
    <w:rsid w:val="00AF284C"/>
    <w:rsid w:val="00B06A0C"/>
    <w:rsid w:val="00B122C4"/>
    <w:rsid w:val="00B13F64"/>
    <w:rsid w:val="00B26BB1"/>
    <w:rsid w:val="00B345D6"/>
    <w:rsid w:val="00B34BA5"/>
    <w:rsid w:val="00B4028E"/>
    <w:rsid w:val="00B45B21"/>
    <w:rsid w:val="00B517F7"/>
    <w:rsid w:val="00B53C91"/>
    <w:rsid w:val="00B541AF"/>
    <w:rsid w:val="00B660FA"/>
    <w:rsid w:val="00B70250"/>
    <w:rsid w:val="00B738B7"/>
    <w:rsid w:val="00B816F1"/>
    <w:rsid w:val="00B85789"/>
    <w:rsid w:val="00B90110"/>
    <w:rsid w:val="00B9111F"/>
    <w:rsid w:val="00BA0BD1"/>
    <w:rsid w:val="00BA2279"/>
    <w:rsid w:val="00BA6902"/>
    <w:rsid w:val="00BB1789"/>
    <w:rsid w:val="00BB31DE"/>
    <w:rsid w:val="00BB7F10"/>
    <w:rsid w:val="00BC010C"/>
    <w:rsid w:val="00BC4A09"/>
    <w:rsid w:val="00BC7C9D"/>
    <w:rsid w:val="00BD24BF"/>
    <w:rsid w:val="00BE0FDA"/>
    <w:rsid w:val="00BF2DF8"/>
    <w:rsid w:val="00BF32F7"/>
    <w:rsid w:val="00C111F2"/>
    <w:rsid w:val="00C1570B"/>
    <w:rsid w:val="00C17406"/>
    <w:rsid w:val="00C26AF4"/>
    <w:rsid w:val="00C31E82"/>
    <w:rsid w:val="00C320A6"/>
    <w:rsid w:val="00C33231"/>
    <w:rsid w:val="00C431A4"/>
    <w:rsid w:val="00C45F23"/>
    <w:rsid w:val="00C55EEA"/>
    <w:rsid w:val="00C56B8F"/>
    <w:rsid w:val="00C754D8"/>
    <w:rsid w:val="00C75DBC"/>
    <w:rsid w:val="00C8030B"/>
    <w:rsid w:val="00C830C6"/>
    <w:rsid w:val="00C85B5B"/>
    <w:rsid w:val="00C905BF"/>
    <w:rsid w:val="00CA03B6"/>
    <w:rsid w:val="00CA2643"/>
    <w:rsid w:val="00CB2567"/>
    <w:rsid w:val="00CB3B67"/>
    <w:rsid w:val="00CC1FCF"/>
    <w:rsid w:val="00CC3E30"/>
    <w:rsid w:val="00CC506F"/>
    <w:rsid w:val="00CD2131"/>
    <w:rsid w:val="00CD27E1"/>
    <w:rsid w:val="00CD79A6"/>
    <w:rsid w:val="00CE1560"/>
    <w:rsid w:val="00CE5FC2"/>
    <w:rsid w:val="00CF63A7"/>
    <w:rsid w:val="00D00877"/>
    <w:rsid w:val="00D03B67"/>
    <w:rsid w:val="00D11E40"/>
    <w:rsid w:val="00D13BF8"/>
    <w:rsid w:val="00D13F0E"/>
    <w:rsid w:val="00D142E5"/>
    <w:rsid w:val="00D15218"/>
    <w:rsid w:val="00D17B37"/>
    <w:rsid w:val="00D214FA"/>
    <w:rsid w:val="00D21FB6"/>
    <w:rsid w:val="00D252A1"/>
    <w:rsid w:val="00D45865"/>
    <w:rsid w:val="00D47609"/>
    <w:rsid w:val="00D51B72"/>
    <w:rsid w:val="00D64C20"/>
    <w:rsid w:val="00D7145B"/>
    <w:rsid w:val="00D71A80"/>
    <w:rsid w:val="00D74FC5"/>
    <w:rsid w:val="00D843BF"/>
    <w:rsid w:val="00D90F4F"/>
    <w:rsid w:val="00D94982"/>
    <w:rsid w:val="00DA647A"/>
    <w:rsid w:val="00DA652C"/>
    <w:rsid w:val="00DB1E99"/>
    <w:rsid w:val="00DB49D1"/>
    <w:rsid w:val="00DC1C18"/>
    <w:rsid w:val="00DC477D"/>
    <w:rsid w:val="00DC48B1"/>
    <w:rsid w:val="00DD1169"/>
    <w:rsid w:val="00DD23AA"/>
    <w:rsid w:val="00DD4F0E"/>
    <w:rsid w:val="00DD557B"/>
    <w:rsid w:val="00DE2077"/>
    <w:rsid w:val="00DF0B0A"/>
    <w:rsid w:val="00DF2377"/>
    <w:rsid w:val="00DF795E"/>
    <w:rsid w:val="00E07F75"/>
    <w:rsid w:val="00E177B3"/>
    <w:rsid w:val="00E20AA0"/>
    <w:rsid w:val="00E23C01"/>
    <w:rsid w:val="00E23C8A"/>
    <w:rsid w:val="00E262EC"/>
    <w:rsid w:val="00E30570"/>
    <w:rsid w:val="00E3282D"/>
    <w:rsid w:val="00E4391E"/>
    <w:rsid w:val="00E43E1F"/>
    <w:rsid w:val="00E469C1"/>
    <w:rsid w:val="00E47000"/>
    <w:rsid w:val="00E652FB"/>
    <w:rsid w:val="00E66BF6"/>
    <w:rsid w:val="00E66C7E"/>
    <w:rsid w:val="00E72083"/>
    <w:rsid w:val="00E72398"/>
    <w:rsid w:val="00E7464E"/>
    <w:rsid w:val="00E802A7"/>
    <w:rsid w:val="00E84E00"/>
    <w:rsid w:val="00E93A11"/>
    <w:rsid w:val="00E949A3"/>
    <w:rsid w:val="00EA2F06"/>
    <w:rsid w:val="00EB68C4"/>
    <w:rsid w:val="00EB73AF"/>
    <w:rsid w:val="00EC04F4"/>
    <w:rsid w:val="00ED6267"/>
    <w:rsid w:val="00F01845"/>
    <w:rsid w:val="00F037E2"/>
    <w:rsid w:val="00F04C2A"/>
    <w:rsid w:val="00F05332"/>
    <w:rsid w:val="00F136BC"/>
    <w:rsid w:val="00F1517B"/>
    <w:rsid w:val="00F2046C"/>
    <w:rsid w:val="00F241D1"/>
    <w:rsid w:val="00F26530"/>
    <w:rsid w:val="00F26F7E"/>
    <w:rsid w:val="00F2740B"/>
    <w:rsid w:val="00F277FB"/>
    <w:rsid w:val="00F278C3"/>
    <w:rsid w:val="00F308A7"/>
    <w:rsid w:val="00F32009"/>
    <w:rsid w:val="00F32C38"/>
    <w:rsid w:val="00F32CC0"/>
    <w:rsid w:val="00F33556"/>
    <w:rsid w:val="00F33E04"/>
    <w:rsid w:val="00F345DC"/>
    <w:rsid w:val="00F34AC8"/>
    <w:rsid w:val="00F34D38"/>
    <w:rsid w:val="00F35C1C"/>
    <w:rsid w:val="00F54D9E"/>
    <w:rsid w:val="00F551E2"/>
    <w:rsid w:val="00F60906"/>
    <w:rsid w:val="00F6129F"/>
    <w:rsid w:val="00F61CB0"/>
    <w:rsid w:val="00F64EF1"/>
    <w:rsid w:val="00F663C7"/>
    <w:rsid w:val="00F72752"/>
    <w:rsid w:val="00F75FF9"/>
    <w:rsid w:val="00F777DA"/>
    <w:rsid w:val="00F865EE"/>
    <w:rsid w:val="00F87A26"/>
    <w:rsid w:val="00F91724"/>
    <w:rsid w:val="00F94672"/>
    <w:rsid w:val="00FA18CB"/>
    <w:rsid w:val="00FA3DFA"/>
    <w:rsid w:val="00FA4DB3"/>
    <w:rsid w:val="00FA658B"/>
    <w:rsid w:val="00FA7B09"/>
    <w:rsid w:val="00FC0050"/>
    <w:rsid w:val="00FE0B25"/>
    <w:rsid w:val="00FE0BF4"/>
    <w:rsid w:val="00FE2DA8"/>
    <w:rsid w:val="00FE3DD6"/>
    <w:rsid w:val="00FE657D"/>
    <w:rsid w:val="00FF3398"/>
    <w:rsid w:val="00FF460C"/>
    <w:rsid w:val="015107E6"/>
    <w:rsid w:val="01B55FB0"/>
    <w:rsid w:val="01DF631E"/>
    <w:rsid w:val="020277D8"/>
    <w:rsid w:val="021054A3"/>
    <w:rsid w:val="02485D4E"/>
    <w:rsid w:val="02840131"/>
    <w:rsid w:val="028E264D"/>
    <w:rsid w:val="02C14713"/>
    <w:rsid w:val="02EF77E1"/>
    <w:rsid w:val="03101F14"/>
    <w:rsid w:val="03243133"/>
    <w:rsid w:val="036C6DAA"/>
    <w:rsid w:val="03E531F1"/>
    <w:rsid w:val="04815B5D"/>
    <w:rsid w:val="048C0506"/>
    <w:rsid w:val="04EF11D6"/>
    <w:rsid w:val="05066B4B"/>
    <w:rsid w:val="053B19FF"/>
    <w:rsid w:val="053C7261"/>
    <w:rsid w:val="05592B90"/>
    <w:rsid w:val="05711A7E"/>
    <w:rsid w:val="058C00A9"/>
    <w:rsid w:val="05B437EC"/>
    <w:rsid w:val="05C66F89"/>
    <w:rsid w:val="05F2584F"/>
    <w:rsid w:val="06187C8D"/>
    <w:rsid w:val="06420131"/>
    <w:rsid w:val="064A5EDE"/>
    <w:rsid w:val="06721621"/>
    <w:rsid w:val="068B4749"/>
    <w:rsid w:val="069A535A"/>
    <w:rsid w:val="06B8127F"/>
    <w:rsid w:val="06BA258E"/>
    <w:rsid w:val="070F49A2"/>
    <w:rsid w:val="072B6851"/>
    <w:rsid w:val="07726BC0"/>
    <w:rsid w:val="077730CD"/>
    <w:rsid w:val="078F39B9"/>
    <w:rsid w:val="07B55485"/>
    <w:rsid w:val="07BA06BE"/>
    <w:rsid w:val="07C74150"/>
    <w:rsid w:val="08296773"/>
    <w:rsid w:val="084837A5"/>
    <w:rsid w:val="08487F22"/>
    <w:rsid w:val="085262B3"/>
    <w:rsid w:val="086246CF"/>
    <w:rsid w:val="086D2969"/>
    <w:rsid w:val="08B140CE"/>
    <w:rsid w:val="08C1490D"/>
    <w:rsid w:val="098E0800"/>
    <w:rsid w:val="09A83DA7"/>
    <w:rsid w:val="09D94E35"/>
    <w:rsid w:val="09DD76C5"/>
    <w:rsid w:val="09FB2DEB"/>
    <w:rsid w:val="0A3B3BD5"/>
    <w:rsid w:val="0A436A63"/>
    <w:rsid w:val="0A5C798D"/>
    <w:rsid w:val="0A697B87"/>
    <w:rsid w:val="0A8E1461"/>
    <w:rsid w:val="0A9C2975"/>
    <w:rsid w:val="0AB74823"/>
    <w:rsid w:val="0AC57691"/>
    <w:rsid w:val="0B322C9A"/>
    <w:rsid w:val="0B744BD6"/>
    <w:rsid w:val="0B921C08"/>
    <w:rsid w:val="0BE36CA3"/>
    <w:rsid w:val="0BF82C31"/>
    <w:rsid w:val="0C6D0671"/>
    <w:rsid w:val="0C6E04EF"/>
    <w:rsid w:val="0CA37B83"/>
    <w:rsid w:val="0CAB26D5"/>
    <w:rsid w:val="0CB17E61"/>
    <w:rsid w:val="0CD87D21"/>
    <w:rsid w:val="0CF031C9"/>
    <w:rsid w:val="0CF54722"/>
    <w:rsid w:val="0D552B6D"/>
    <w:rsid w:val="0D7359A1"/>
    <w:rsid w:val="0D9C536D"/>
    <w:rsid w:val="0E0A3916"/>
    <w:rsid w:val="0E183F30"/>
    <w:rsid w:val="0E1A7433"/>
    <w:rsid w:val="0E20157A"/>
    <w:rsid w:val="0E8C5D7C"/>
    <w:rsid w:val="0E8F15F0"/>
    <w:rsid w:val="0F2C0095"/>
    <w:rsid w:val="0F8D0BCA"/>
    <w:rsid w:val="1013142C"/>
    <w:rsid w:val="10183676"/>
    <w:rsid w:val="103764A9"/>
    <w:rsid w:val="105B1B61"/>
    <w:rsid w:val="10807BA2"/>
    <w:rsid w:val="10997447"/>
    <w:rsid w:val="10A27B52"/>
    <w:rsid w:val="10A854E3"/>
    <w:rsid w:val="11044578"/>
    <w:rsid w:val="111A33D9"/>
    <w:rsid w:val="114A726B"/>
    <w:rsid w:val="116B08B9"/>
    <w:rsid w:val="116F3C27"/>
    <w:rsid w:val="1186384C"/>
    <w:rsid w:val="11B33417"/>
    <w:rsid w:val="11D3174D"/>
    <w:rsid w:val="12111CE2"/>
    <w:rsid w:val="12324EB9"/>
    <w:rsid w:val="12374872"/>
    <w:rsid w:val="12466B15"/>
    <w:rsid w:val="125170B3"/>
    <w:rsid w:val="125633BB"/>
    <w:rsid w:val="125A0EB1"/>
    <w:rsid w:val="128F1B00"/>
    <w:rsid w:val="12A32D1F"/>
    <w:rsid w:val="12C82F5F"/>
    <w:rsid w:val="13180760"/>
    <w:rsid w:val="13853312"/>
    <w:rsid w:val="13860D94"/>
    <w:rsid w:val="139D423C"/>
    <w:rsid w:val="13AD22D8"/>
    <w:rsid w:val="13B35317"/>
    <w:rsid w:val="13E56022"/>
    <w:rsid w:val="13E834C0"/>
    <w:rsid w:val="13FC2057"/>
    <w:rsid w:val="142D60AA"/>
    <w:rsid w:val="14480E52"/>
    <w:rsid w:val="1462527F"/>
    <w:rsid w:val="147B3680"/>
    <w:rsid w:val="14A127E5"/>
    <w:rsid w:val="15044A88"/>
    <w:rsid w:val="15150000"/>
    <w:rsid w:val="15354AC9"/>
    <w:rsid w:val="15584512"/>
    <w:rsid w:val="15596EC0"/>
    <w:rsid w:val="15DB1361"/>
    <w:rsid w:val="1604074F"/>
    <w:rsid w:val="16391602"/>
    <w:rsid w:val="164467AA"/>
    <w:rsid w:val="16767B4B"/>
    <w:rsid w:val="168A398A"/>
    <w:rsid w:val="16B36D4D"/>
    <w:rsid w:val="16E21E1B"/>
    <w:rsid w:val="16F220B5"/>
    <w:rsid w:val="16F577B6"/>
    <w:rsid w:val="16FD2644"/>
    <w:rsid w:val="1703454E"/>
    <w:rsid w:val="170A3E13"/>
    <w:rsid w:val="17206192"/>
    <w:rsid w:val="1732509D"/>
    <w:rsid w:val="17AF08A9"/>
    <w:rsid w:val="17D313A3"/>
    <w:rsid w:val="17DB7587"/>
    <w:rsid w:val="17E70043"/>
    <w:rsid w:val="17E91348"/>
    <w:rsid w:val="17F6065E"/>
    <w:rsid w:val="181E68F0"/>
    <w:rsid w:val="18292F6E"/>
    <w:rsid w:val="182D2D36"/>
    <w:rsid w:val="185A2660"/>
    <w:rsid w:val="18B60219"/>
    <w:rsid w:val="18D944D4"/>
    <w:rsid w:val="18DD7D48"/>
    <w:rsid w:val="18DF3E5F"/>
    <w:rsid w:val="191142D4"/>
    <w:rsid w:val="191F54D8"/>
    <w:rsid w:val="192D76F1"/>
    <w:rsid w:val="193A79F0"/>
    <w:rsid w:val="19A50560"/>
    <w:rsid w:val="19BE5B9F"/>
    <w:rsid w:val="19D4203E"/>
    <w:rsid w:val="19DC4FFB"/>
    <w:rsid w:val="19E908B9"/>
    <w:rsid w:val="1A1D12E8"/>
    <w:rsid w:val="1A29778A"/>
    <w:rsid w:val="1A445924"/>
    <w:rsid w:val="1A491DAC"/>
    <w:rsid w:val="1A7E4C00"/>
    <w:rsid w:val="1A8F0322"/>
    <w:rsid w:val="1AAF48E3"/>
    <w:rsid w:val="1AD718DD"/>
    <w:rsid w:val="1B171500"/>
    <w:rsid w:val="1B666D00"/>
    <w:rsid w:val="1BC85AA0"/>
    <w:rsid w:val="1BE74C69"/>
    <w:rsid w:val="1C2E0BDD"/>
    <w:rsid w:val="1C392F29"/>
    <w:rsid w:val="1C6F2DB6"/>
    <w:rsid w:val="1C7F1A3E"/>
    <w:rsid w:val="1C951971"/>
    <w:rsid w:val="1CB73CA2"/>
    <w:rsid w:val="1CDC65CA"/>
    <w:rsid w:val="1D86477C"/>
    <w:rsid w:val="1DBA3E18"/>
    <w:rsid w:val="1DC24809"/>
    <w:rsid w:val="1DF63B37"/>
    <w:rsid w:val="1E0E375C"/>
    <w:rsid w:val="1E2C078D"/>
    <w:rsid w:val="1E414EAF"/>
    <w:rsid w:val="1E5D6D5E"/>
    <w:rsid w:val="1EBE5AFE"/>
    <w:rsid w:val="1EF67E9C"/>
    <w:rsid w:val="1F163F8E"/>
    <w:rsid w:val="1F262711"/>
    <w:rsid w:val="1F4958D9"/>
    <w:rsid w:val="1F5F1E04"/>
    <w:rsid w:val="1F804A7B"/>
    <w:rsid w:val="1FA35708"/>
    <w:rsid w:val="1FB270BE"/>
    <w:rsid w:val="1FDB71CF"/>
    <w:rsid w:val="20174E36"/>
    <w:rsid w:val="203329FA"/>
    <w:rsid w:val="204C6209"/>
    <w:rsid w:val="205A1400"/>
    <w:rsid w:val="206F170E"/>
    <w:rsid w:val="20C50451"/>
    <w:rsid w:val="20F879A7"/>
    <w:rsid w:val="21060EBB"/>
    <w:rsid w:val="212250B6"/>
    <w:rsid w:val="212579E2"/>
    <w:rsid w:val="21510752"/>
    <w:rsid w:val="21540FBA"/>
    <w:rsid w:val="21637056"/>
    <w:rsid w:val="21783778"/>
    <w:rsid w:val="21D44D8B"/>
    <w:rsid w:val="22133977"/>
    <w:rsid w:val="221A5500"/>
    <w:rsid w:val="222C0C9D"/>
    <w:rsid w:val="223C5D9A"/>
    <w:rsid w:val="226136F6"/>
    <w:rsid w:val="22850432"/>
    <w:rsid w:val="228A48BA"/>
    <w:rsid w:val="22E31B89"/>
    <w:rsid w:val="22FE2214"/>
    <w:rsid w:val="232F3534"/>
    <w:rsid w:val="234341C3"/>
    <w:rsid w:val="2348772B"/>
    <w:rsid w:val="23B36272"/>
    <w:rsid w:val="23DB2F62"/>
    <w:rsid w:val="23ED4783"/>
    <w:rsid w:val="23F05AE9"/>
    <w:rsid w:val="24335B6F"/>
    <w:rsid w:val="25147B41"/>
    <w:rsid w:val="251A1C01"/>
    <w:rsid w:val="25544D4D"/>
    <w:rsid w:val="25BA7F75"/>
    <w:rsid w:val="25F433C6"/>
    <w:rsid w:val="26110984"/>
    <w:rsid w:val="264158CF"/>
    <w:rsid w:val="265213ED"/>
    <w:rsid w:val="267E1DB2"/>
    <w:rsid w:val="268843E2"/>
    <w:rsid w:val="26C329A6"/>
    <w:rsid w:val="26D37F62"/>
    <w:rsid w:val="278773E2"/>
    <w:rsid w:val="27C512CF"/>
    <w:rsid w:val="27E53D82"/>
    <w:rsid w:val="28405395"/>
    <w:rsid w:val="28BC293D"/>
    <w:rsid w:val="28F76BC7"/>
    <w:rsid w:val="29095BA3"/>
    <w:rsid w:val="292F7568"/>
    <w:rsid w:val="297A1D75"/>
    <w:rsid w:val="298D4EAD"/>
    <w:rsid w:val="299172C0"/>
    <w:rsid w:val="29B438CA"/>
    <w:rsid w:val="29BF1089"/>
    <w:rsid w:val="29DB2BB8"/>
    <w:rsid w:val="2A017DDD"/>
    <w:rsid w:val="2A120B13"/>
    <w:rsid w:val="2A842B20"/>
    <w:rsid w:val="2AA76E09"/>
    <w:rsid w:val="2AE00267"/>
    <w:rsid w:val="2B5E1E51"/>
    <w:rsid w:val="2B5E7D49"/>
    <w:rsid w:val="2B700A50"/>
    <w:rsid w:val="2B7661DC"/>
    <w:rsid w:val="2B890B6B"/>
    <w:rsid w:val="2BC52685"/>
    <w:rsid w:val="2BF46AAA"/>
    <w:rsid w:val="2BFB3551"/>
    <w:rsid w:val="2C110389"/>
    <w:rsid w:val="2C113E5C"/>
    <w:rsid w:val="2C372A17"/>
    <w:rsid w:val="2C7135D7"/>
    <w:rsid w:val="2C8C7F23"/>
    <w:rsid w:val="2CCF1DA4"/>
    <w:rsid w:val="2CD07712"/>
    <w:rsid w:val="2CF15497"/>
    <w:rsid w:val="2CFA3AD0"/>
    <w:rsid w:val="2D324A76"/>
    <w:rsid w:val="2D3C1AE0"/>
    <w:rsid w:val="2D406ACD"/>
    <w:rsid w:val="2D541EEA"/>
    <w:rsid w:val="2DA54273"/>
    <w:rsid w:val="2DBA5111"/>
    <w:rsid w:val="2DCC0144"/>
    <w:rsid w:val="2E093F97"/>
    <w:rsid w:val="2E286892"/>
    <w:rsid w:val="2E475FFA"/>
    <w:rsid w:val="2E627EA9"/>
    <w:rsid w:val="2E922BF6"/>
    <w:rsid w:val="2EF54743"/>
    <w:rsid w:val="2F5B483E"/>
    <w:rsid w:val="2FCF25FE"/>
    <w:rsid w:val="30133FEC"/>
    <w:rsid w:val="305B7C64"/>
    <w:rsid w:val="30797214"/>
    <w:rsid w:val="309E19D2"/>
    <w:rsid w:val="30B519B1"/>
    <w:rsid w:val="30E65649"/>
    <w:rsid w:val="31470E79"/>
    <w:rsid w:val="31534978"/>
    <w:rsid w:val="315658FD"/>
    <w:rsid w:val="316C6324"/>
    <w:rsid w:val="31BB30A3"/>
    <w:rsid w:val="31C32B6D"/>
    <w:rsid w:val="320831A2"/>
    <w:rsid w:val="326D5E9B"/>
    <w:rsid w:val="329B0193"/>
    <w:rsid w:val="32EA7018"/>
    <w:rsid w:val="32EB2DE0"/>
    <w:rsid w:val="331773F1"/>
    <w:rsid w:val="33A928CE"/>
    <w:rsid w:val="33C2127A"/>
    <w:rsid w:val="33E24302"/>
    <w:rsid w:val="33E46427"/>
    <w:rsid w:val="33E936B8"/>
    <w:rsid w:val="33EB6BBB"/>
    <w:rsid w:val="33FF10DF"/>
    <w:rsid w:val="343137A3"/>
    <w:rsid w:val="34467E78"/>
    <w:rsid w:val="34846EBC"/>
    <w:rsid w:val="348A3241"/>
    <w:rsid w:val="34A075E3"/>
    <w:rsid w:val="34A672EE"/>
    <w:rsid w:val="34B365FD"/>
    <w:rsid w:val="34D06C8E"/>
    <w:rsid w:val="34EB51C8"/>
    <w:rsid w:val="34ED54E4"/>
    <w:rsid w:val="35397B62"/>
    <w:rsid w:val="355A1216"/>
    <w:rsid w:val="357F17EA"/>
    <w:rsid w:val="35940701"/>
    <w:rsid w:val="35C34243"/>
    <w:rsid w:val="35E96681"/>
    <w:rsid w:val="35F13A8D"/>
    <w:rsid w:val="362F0CEC"/>
    <w:rsid w:val="36910FDB"/>
    <w:rsid w:val="36A2002D"/>
    <w:rsid w:val="36CB3D61"/>
    <w:rsid w:val="36D24400"/>
    <w:rsid w:val="36D76309"/>
    <w:rsid w:val="374E17CB"/>
    <w:rsid w:val="376A7A76"/>
    <w:rsid w:val="378410FF"/>
    <w:rsid w:val="37C13D08"/>
    <w:rsid w:val="388F19DD"/>
    <w:rsid w:val="38D45B95"/>
    <w:rsid w:val="38E96108"/>
    <w:rsid w:val="39057817"/>
    <w:rsid w:val="39291FD6"/>
    <w:rsid w:val="39674039"/>
    <w:rsid w:val="39682ADB"/>
    <w:rsid w:val="39900A80"/>
    <w:rsid w:val="39A43E9E"/>
    <w:rsid w:val="39B131B3"/>
    <w:rsid w:val="39B905C0"/>
    <w:rsid w:val="39D236E8"/>
    <w:rsid w:val="39D3116A"/>
    <w:rsid w:val="39F529A3"/>
    <w:rsid w:val="39FB232E"/>
    <w:rsid w:val="3A2B507B"/>
    <w:rsid w:val="3A2D057F"/>
    <w:rsid w:val="3ADD4E9F"/>
    <w:rsid w:val="3B0E69A9"/>
    <w:rsid w:val="3B7D6FA7"/>
    <w:rsid w:val="3BC5477C"/>
    <w:rsid w:val="3BE16CCB"/>
    <w:rsid w:val="3BE462E3"/>
    <w:rsid w:val="3C2B323D"/>
    <w:rsid w:val="3CC06339"/>
    <w:rsid w:val="3CFB7418"/>
    <w:rsid w:val="3D3675FD"/>
    <w:rsid w:val="3D3921C5"/>
    <w:rsid w:val="3D502048"/>
    <w:rsid w:val="3D53112B"/>
    <w:rsid w:val="3D754D6F"/>
    <w:rsid w:val="3D930C99"/>
    <w:rsid w:val="3D9B7CBE"/>
    <w:rsid w:val="3DAA1B3A"/>
    <w:rsid w:val="3DC65BE7"/>
    <w:rsid w:val="3E1958A3"/>
    <w:rsid w:val="3E2D0A8E"/>
    <w:rsid w:val="3E5654D6"/>
    <w:rsid w:val="3EF25354"/>
    <w:rsid w:val="3F1A598D"/>
    <w:rsid w:val="3F2E7738"/>
    <w:rsid w:val="3F476FDD"/>
    <w:rsid w:val="3F494FE9"/>
    <w:rsid w:val="3F912AF7"/>
    <w:rsid w:val="3FA163F2"/>
    <w:rsid w:val="3FC55E64"/>
    <w:rsid w:val="402356C6"/>
    <w:rsid w:val="403147CD"/>
    <w:rsid w:val="40516596"/>
    <w:rsid w:val="405E4CFE"/>
    <w:rsid w:val="406861BB"/>
    <w:rsid w:val="410C3445"/>
    <w:rsid w:val="412F645D"/>
    <w:rsid w:val="414D3EAF"/>
    <w:rsid w:val="41C837F8"/>
    <w:rsid w:val="41DF38DF"/>
    <w:rsid w:val="41FD4053"/>
    <w:rsid w:val="424A08CF"/>
    <w:rsid w:val="425D61F8"/>
    <w:rsid w:val="427A17FC"/>
    <w:rsid w:val="428B1338"/>
    <w:rsid w:val="42E94F55"/>
    <w:rsid w:val="42F176D0"/>
    <w:rsid w:val="433462CE"/>
    <w:rsid w:val="433C5A00"/>
    <w:rsid w:val="4359650D"/>
    <w:rsid w:val="43CD51C7"/>
    <w:rsid w:val="440D3A32"/>
    <w:rsid w:val="4430746A"/>
    <w:rsid w:val="4450106D"/>
    <w:rsid w:val="445A3B32"/>
    <w:rsid w:val="446E05D4"/>
    <w:rsid w:val="4510235C"/>
    <w:rsid w:val="45163128"/>
    <w:rsid w:val="455E2608"/>
    <w:rsid w:val="45A5284F"/>
    <w:rsid w:val="45D2476C"/>
    <w:rsid w:val="45FD6761"/>
    <w:rsid w:val="464D55E6"/>
    <w:rsid w:val="46534F71"/>
    <w:rsid w:val="465B311A"/>
    <w:rsid w:val="466D2743"/>
    <w:rsid w:val="467609A9"/>
    <w:rsid w:val="46B77214"/>
    <w:rsid w:val="46D467C4"/>
    <w:rsid w:val="46EE736E"/>
    <w:rsid w:val="46FD0882"/>
    <w:rsid w:val="472C4C55"/>
    <w:rsid w:val="474422FB"/>
    <w:rsid w:val="474544FA"/>
    <w:rsid w:val="4757351A"/>
    <w:rsid w:val="47974304"/>
    <w:rsid w:val="47B44217"/>
    <w:rsid w:val="47BE198A"/>
    <w:rsid w:val="480A2FBE"/>
    <w:rsid w:val="48185B57"/>
    <w:rsid w:val="487C587B"/>
    <w:rsid w:val="489B28AD"/>
    <w:rsid w:val="49165266"/>
    <w:rsid w:val="49244D8F"/>
    <w:rsid w:val="49547ADD"/>
    <w:rsid w:val="49792302"/>
    <w:rsid w:val="49AB4C68"/>
    <w:rsid w:val="49D01002"/>
    <w:rsid w:val="49D074BD"/>
    <w:rsid w:val="49F308E0"/>
    <w:rsid w:val="4A17781B"/>
    <w:rsid w:val="4A2645B2"/>
    <w:rsid w:val="4A5C030F"/>
    <w:rsid w:val="4AA25200"/>
    <w:rsid w:val="4AAB008E"/>
    <w:rsid w:val="4AD743D6"/>
    <w:rsid w:val="4B2D0403"/>
    <w:rsid w:val="4B5F55B3"/>
    <w:rsid w:val="4C6F31F2"/>
    <w:rsid w:val="4CAF785F"/>
    <w:rsid w:val="4CD94E20"/>
    <w:rsid w:val="4D5634F0"/>
    <w:rsid w:val="4D5D1F40"/>
    <w:rsid w:val="4D804334"/>
    <w:rsid w:val="4DB95793"/>
    <w:rsid w:val="4DBF5FB2"/>
    <w:rsid w:val="4DDF0F63"/>
    <w:rsid w:val="4E0E506F"/>
    <w:rsid w:val="4E4B256C"/>
    <w:rsid w:val="4E501D2A"/>
    <w:rsid w:val="4E884B66"/>
    <w:rsid w:val="4E8F0CF5"/>
    <w:rsid w:val="4EB621B3"/>
    <w:rsid w:val="4EF26794"/>
    <w:rsid w:val="4EFB2AF1"/>
    <w:rsid w:val="4F1637C8"/>
    <w:rsid w:val="4F32757E"/>
    <w:rsid w:val="4F454F19"/>
    <w:rsid w:val="4F923C1E"/>
    <w:rsid w:val="4FB6096D"/>
    <w:rsid w:val="4FBB03DB"/>
    <w:rsid w:val="50120DEA"/>
    <w:rsid w:val="50146E75"/>
    <w:rsid w:val="503F6BEE"/>
    <w:rsid w:val="50BB5D80"/>
    <w:rsid w:val="50C05A8B"/>
    <w:rsid w:val="51186119"/>
    <w:rsid w:val="51291058"/>
    <w:rsid w:val="51322546"/>
    <w:rsid w:val="51465964"/>
    <w:rsid w:val="5168719D"/>
    <w:rsid w:val="51827D47"/>
    <w:rsid w:val="51AA7C07"/>
    <w:rsid w:val="51D442CE"/>
    <w:rsid w:val="51E00BA5"/>
    <w:rsid w:val="52073823"/>
    <w:rsid w:val="52163CAA"/>
    <w:rsid w:val="521C7F46"/>
    <w:rsid w:val="52430096"/>
    <w:rsid w:val="52553923"/>
    <w:rsid w:val="525B32AE"/>
    <w:rsid w:val="52686D40"/>
    <w:rsid w:val="52995311"/>
    <w:rsid w:val="5335235D"/>
    <w:rsid w:val="5338218F"/>
    <w:rsid w:val="536611E1"/>
    <w:rsid w:val="539C5E38"/>
    <w:rsid w:val="53D6159A"/>
    <w:rsid w:val="53E362C6"/>
    <w:rsid w:val="545B07F5"/>
    <w:rsid w:val="545E1B1E"/>
    <w:rsid w:val="54766E20"/>
    <w:rsid w:val="54DB67C4"/>
    <w:rsid w:val="54DD1CC8"/>
    <w:rsid w:val="551256A6"/>
    <w:rsid w:val="551A792E"/>
    <w:rsid w:val="5536145D"/>
    <w:rsid w:val="554508B0"/>
    <w:rsid w:val="556D4434"/>
    <w:rsid w:val="559C59C0"/>
    <w:rsid w:val="55AB141B"/>
    <w:rsid w:val="55AB5B98"/>
    <w:rsid w:val="55BE7B1F"/>
    <w:rsid w:val="55C022BA"/>
    <w:rsid w:val="55C909CB"/>
    <w:rsid w:val="55CC1950"/>
    <w:rsid w:val="55E27920"/>
    <w:rsid w:val="563F7711"/>
    <w:rsid w:val="565B37BE"/>
    <w:rsid w:val="56713842"/>
    <w:rsid w:val="569B1267"/>
    <w:rsid w:val="56AC22C3"/>
    <w:rsid w:val="56BE7FDF"/>
    <w:rsid w:val="56C82AED"/>
    <w:rsid w:val="56FE3FDE"/>
    <w:rsid w:val="57584748"/>
    <w:rsid w:val="576747DC"/>
    <w:rsid w:val="577545BB"/>
    <w:rsid w:val="57AC65E2"/>
    <w:rsid w:val="57AD4F45"/>
    <w:rsid w:val="57DE5EB8"/>
    <w:rsid w:val="57FB5468"/>
    <w:rsid w:val="57FE63ED"/>
    <w:rsid w:val="581B7F1B"/>
    <w:rsid w:val="58587A9A"/>
    <w:rsid w:val="58A60E39"/>
    <w:rsid w:val="58D21C48"/>
    <w:rsid w:val="58DB6CD4"/>
    <w:rsid w:val="58DE7C59"/>
    <w:rsid w:val="58E9186D"/>
    <w:rsid w:val="59284BD5"/>
    <w:rsid w:val="593167FB"/>
    <w:rsid w:val="595348C0"/>
    <w:rsid w:val="59833FEA"/>
    <w:rsid w:val="59B5223B"/>
    <w:rsid w:val="59FD705D"/>
    <w:rsid w:val="5A3E219F"/>
    <w:rsid w:val="5A432DA3"/>
    <w:rsid w:val="5A81068A"/>
    <w:rsid w:val="5A8A2BB3"/>
    <w:rsid w:val="5AA63FAD"/>
    <w:rsid w:val="5B214990"/>
    <w:rsid w:val="5B374935"/>
    <w:rsid w:val="5B5E47F5"/>
    <w:rsid w:val="5B9B0DD6"/>
    <w:rsid w:val="5BFE3079"/>
    <w:rsid w:val="5C2515A2"/>
    <w:rsid w:val="5C372A61"/>
    <w:rsid w:val="5C650DC3"/>
    <w:rsid w:val="5C8D0D1E"/>
    <w:rsid w:val="5C951EDD"/>
    <w:rsid w:val="5CB163A0"/>
    <w:rsid w:val="5CD37BDA"/>
    <w:rsid w:val="5CF15194"/>
    <w:rsid w:val="5CFB5748"/>
    <w:rsid w:val="5D0C1038"/>
    <w:rsid w:val="5D406F09"/>
    <w:rsid w:val="5D762C66"/>
    <w:rsid w:val="5D9D04F4"/>
    <w:rsid w:val="5DDA56EA"/>
    <w:rsid w:val="5DDB040C"/>
    <w:rsid w:val="5E1A7EF1"/>
    <w:rsid w:val="5E782489"/>
    <w:rsid w:val="5ED460FD"/>
    <w:rsid w:val="5EE475B9"/>
    <w:rsid w:val="5F2922AC"/>
    <w:rsid w:val="5F517BED"/>
    <w:rsid w:val="5FA7097C"/>
    <w:rsid w:val="600D76AB"/>
    <w:rsid w:val="6012002C"/>
    <w:rsid w:val="60837066"/>
    <w:rsid w:val="612C0778"/>
    <w:rsid w:val="61414E9A"/>
    <w:rsid w:val="614800A8"/>
    <w:rsid w:val="61637D75"/>
    <w:rsid w:val="619F2CB5"/>
    <w:rsid w:val="61E60EAB"/>
    <w:rsid w:val="62246792"/>
    <w:rsid w:val="626A329A"/>
    <w:rsid w:val="628E03BF"/>
    <w:rsid w:val="62BE6449"/>
    <w:rsid w:val="634023E1"/>
    <w:rsid w:val="634642EB"/>
    <w:rsid w:val="635C20B1"/>
    <w:rsid w:val="63884D08"/>
    <w:rsid w:val="639E361F"/>
    <w:rsid w:val="63D21927"/>
    <w:rsid w:val="63F50C0B"/>
    <w:rsid w:val="640E2396"/>
    <w:rsid w:val="641A7B46"/>
    <w:rsid w:val="64451C8F"/>
    <w:rsid w:val="644707AF"/>
    <w:rsid w:val="646666C9"/>
    <w:rsid w:val="64A66A83"/>
    <w:rsid w:val="64AB2CB8"/>
    <w:rsid w:val="64E0620E"/>
    <w:rsid w:val="65171FE8"/>
    <w:rsid w:val="657171FE"/>
    <w:rsid w:val="65891022"/>
    <w:rsid w:val="65E43CBA"/>
    <w:rsid w:val="65F364D3"/>
    <w:rsid w:val="664839DE"/>
    <w:rsid w:val="66C37AA5"/>
    <w:rsid w:val="66DF3BDF"/>
    <w:rsid w:val="66F332D5"/>
    <w:rsid w:val="6709601B"/>
    <w:rsid w:val="670B371C"/>
    <w:rsid w:val="674001A7"/>
    <w:rsid w:val="67514DA2"/>
    <w:rsid w:val="67617776"/>
    <w:rsid w:val="677478C8"/>
    <w:rsid w:val="679113F7"/>
    <w:rsid w:val="67B12224"/>
    <w:rsid w:val="67CE6C19"/>
    <w:rsid w:val="67ED628D"/>
    <w:rsid w:val="67F4369A"/>
    <w:rsid w:val="67FA55A3"/>
    <w:rsid w:val="67FB68A8"/>
    <w:rsid w:val="681151C8"/>
    <w:rsid w:val="68665F57"/>
    <w:rsid w:val="687E7D7B"/>
    <w:rsid w:val="68B81E73"/>
    <w:rsid w:val="69274D10"/>
    <w:rsid w:val="693130A1"/>
    <w:rsid w:val="69790F04"/>
    <w:rsid w:val="69D07728"/>
    <w:rsid w:val="69FF6F72"/>
    <w:rsid w:val="6A0E07C3"/>
    <w:rsid w:val="6A906493"/>
    <w:rsid w:val="6AF1171A"/>
    <w:rsid w:val="6AF44007"/>
    <w:rsid w:val="6B090729"/>
    <w:rsid w:val="6B0F11E2"/>
    <w:rsid w:val="6BF07722"/>
    <w:rsid w:val="6C0210B1"/>
    <w:rsid w:val="6C38059F"/>
    <w:rsid w:val="6C465F32"/>
    <w:rsid w:val="6C496EB7"/>
    <w:rsid w:val="6C8947F6"/>
    <w:rsid w:val="6CF3643A"/>
    <w:rsid w:val="6D9632D6"/>
    <w:rsid w:val="6DCA3B30"/>
    <w:rsid w:val="6DED1766"/>
    <w:rsid w:val="6DF139EF"/>
    <w:rsid w:val="6E3C2B6A"/>
    <w:rsid w:val="6E536A12"/>
    <w:rsid w:val="6E6E7F2A"/>
    <w:rsid w:val="6E6F5E21"/>
    <w:rsid w:val="6E725242"/>
    <w:rsid w:val="6E8B6CDF"/>
    <w:rsid w:val="6E965EC4"/>
    <w:rsid w:val="6E9C3E88"/>
    <w:rsid w:val="6EAF50A7"/>
    <w:rsid w:val="6EBC4D97"/>
    <w:rsid w:val="6EC61449"/>
    <w:rsid w:val="6ED177DA"/>
    <w:rsid w:val="6F410D93"/>
    <w:rsid w:val="6F4A74A4"/>
    <w:rsid w:val="6F6D301A"/>
    <w:rsid w:val="6F9A4CB7"/>
    <w:rsid w:val="6FD04AFC"/>
    <w:rsid w:val="6FD47408"/>
    <w:rsid w:val="6FD8258B"/>
    <w:rsid w:val="6FDD4494"/>
    <w:rsid w:val="6FEA15AC"/>
    <w:rsid w:val="6FF24372"/>
    <w:rsid w:val="6FF30BB6"/>
    <w:rsid w:val="700233CF"/>
    <w:rsid w:val="700529B7"/>
    <w:rsid w:val="70065659"/>
    <w:rsid w:val="70113072"/>
    <w:rsid w:val="70173375"/>
    <w:rsid w:val="70335223"/>
    <w:rsid w:val="70676382"/>
    <w:rsid w:val="709848AF"/>
    <w:rsid w:val="70C54D3C"/>
    <w:rsid w:val="70FA71EB"/>
    <w:rsid w:val="71784236"/>
    <w:rsid w:val="71971267"/>
    <w:rsid w:val="71A74D85"/>
    <w:rsid w:val="71B43E9D"/>
    <w:rsid w:val="71C80B3D"/>
    <w:rsid w:val="71CD585B"/>
    <w:rsid w:val="71F21D23"/>
    <w:rsid w:val="72401A80"/>
    <w:rsid w:val="7251199A"/>
    <w:rsid w:val="7254291F"/>
    <w:rsid w:val="729E5448"/>
    <w:rsid w:val="72A97E2B"/>
    <w:rsid w:val="72C46456"/>
    <w:rsid w:val="72CC5B95"/>
    <w:rsid w:val="73134DB4"/>
    <w:rsid w:val="73276794"/>
    <w:rsid w:val="735B077A"/>
    <w:rsid w:val="73763CFB"/>
    <w:rsid w:val="737F6B89"/>
    <w:rsid w:val="739003CE"/>
    <w:rsid w:val="739A0A38"/>
    <w:rsid w:val="73C31BFC"/>
    <w:rsid w:val="73CD470A"/>
    <w:rsid w:val="73D8631E"/>
    <w:rsid w:val="73F80DD1"/>
    <w:rsid w:val="7457466E"/>
    <w:rsid w:val="746314A2"/>
    <w:rsid w:val="74694588"/>
    <w:rsid w:val="74713695"/>
    <w:rsid w:val="74C04F97"/>
    <w:rsid w:val="74D12A3C"/>
    <w:rsid w:val="74E77578"/>
    <w:rsid w:val="74FA76FB"/>
    <w:rsid w:val="75031328"/>
    <w:rsid w:val="750D5096"/>
    <w:rsid w:val="756F76B9"/>
    <w:rsid w:val="75732515"/>
    <w:rsid w:val="7585185D"/>
    <w:rsid w:val="75E91581"/>
    <w:rsid w:val="75E95CFE"/>
    <w:rsid w:val="764143DD"/>
    <w:rsid w:val="77673652"/>
    <w:rsid w:val="77740D08"/>
    <w:rsid w:val="7776420B"/>
    <w:rsid w:val="778D7463"/>
    <w:rsid w:val="77D50A29"/>
    <w:rsid w:val="77E138BA"/>
    <w:rsid w:val="77E757C4"/>
    <w:rsid w:val="78131B3E"/>
    <w:rsid w:val="781E371F"/>
    <w:rsid w:val="784A5BBA"/>
    <w:rsid w:val="78F422BE"/>
    <w:rsid w:val="790E68AB"/>
    <w:rsid w:val="79990A0D"/>
    <w:rsid w:val="799C1EED"/>
    <w:rsid w:val="79A74BFD"/>
    <w:rsid w:val="79AE5130"/>
    <w:rsid w:val="79D704F2"/>
    <w:rsid w:val="79DB1D76"/>
    <w:rsid w:val="79E7658E"/>
    <w:rsid w:val="79F57AA2"/>
    <w:rsid w:val="79F964A8"/>
    <w:rsid w:val="7A0F49FB"/>
    <w:rsid w:val="7A385094"/>
    <w:rsid w:val="7A523314"/>
    <w:rsid w:val="7A610456"/>
    <w:rsid w:val="7A6300D6"/>
    <w:rsid w:val="7A903A56"/>
    <w:rsid w:val="7AAD2AD4"/>
    <w:rsid w:val="7AB46E9F"/>
    <w:rsid w:val="7AC9440C"/>
    <w:rsid w:val="7AEB680E"/>
    <w:rsid w:val="7B186900"/>
    <w:rsid w:val="7B3B2338"/>
    <w:rsid w:val="7B406A22"/>
    <w:rsid w:val="7B907D66"/>
    <w:rsid w:val="7BA051AE"/>
    <w:rsid w:val="7BA13D4B"/>
    <w:rsid w:val="7BCD512A"/>
    <w:rsid w:val="7BF42DEB"/>
    <w:rsid w:val="7C0F7FDD"/>
    <w:rsid w:val="7C154545"/>
    <w:rsid w:val="7C1D135B"/>
    <w:rsid w:val="7CA4518D"/>
    <w:rsid w:val="7CC940C8"/>
    <w:rsid w:val="7D1379BF"/>
    <w:rsid w:val="7D474996"/>
    <w:rsid w:val="7D5848F7"/>
    <w:rsid w:val="7D7265C6"/>
    <w:rsid w:val="7DAC7542"/>
    <w:rsid w:val="7DB24046"/>
    <w:rsid w:val="7DC62CE6"/>
    <w:rsid w:val="7DCE3976"/>
    <w:rsid w:val="7DD86484"/>
    <w:rsid w:val="7DF30332"/>
    <w:rsid w:val="7E36070D"/>
    <w:rsid w:val="7E7B17D5"/>
    <w:rsid w:val="7E9633BF"/>
    <w:rsid w:val="7F5A30FD"/>
    <w:rsid w:val="7F64728F"/>
    <w:rsid w:val="7F695915"/>
    <w:rsid w:val="7F751728"/>
    <w:rsid w:val="7F77144F"/>
    <w:rsid w:val="7FDC23D1"/>
    <w:rsid w:val="7FE66564"/>
    <w:rsid w:val="7FEF6E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lang w:val="en-US" w:eastAsia="zh-CN" w:bidi="ar-SA"/>
    </w:rPr>
  </w:style>
  <w:style w:type="paragraph" w:styleId="2">
    <w:name w:val="heading 3"/>
    <w:basedOn w:val="1"/>
    <w:next w:val="1"/>
    <w:link w:val="17"/>
    <w:unhideWhenUsed/>
    <w:qFormat/>
    <w:uiPriority w:val="0"/>
    <w:pPr>
      <w:keepNext/>
      <w:keepLines/>
      <w:spacing w:before="260" w:after="260" w:line="416" w:lineRule="auto"/>
      <w:outlineLvl w:val="2"/>
    </w:pPr>
    <w:rPr>
      <w:b/>
      <w:kern w:val="0"/>
      <w:sz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0"/>
    <w:pPr>
      <w:jc w:val="left"/>
    </w:pPr>
    <w:rPr>
      <w:kern w:val="0"/>
      <w:sz w:val="20"/>
    </w:rPr>
  </w:style>
  <w:style w:type="paragraph" w:styleId="4">
    <w:name w:val="Balloon Text"/>
    <w:basedOn w:val="1"/>
    <w:link w:val="21"/>
    <w:unhideWhenUsed/>
    <w:qFormat/>
    <w:uiPriority w:val="0"/>
    <w:rPr>
      <w:sz w:val="18"/>
      <w:szCs w:val="18"/>
    </w:rPr>
  </w:style>
  <w:style w:type="paragraph" w:styleId="5">
    <w:name w:val="footer"/>
    <w:basedOn w:val="1"/>
    <w:link w:val="19"/>
    <w:unhideWhenUsed/>
    <w:qFormat/>
    <w:uiPriority w:val="0"/>
    <w:pPr>
      <w:tabs>
        <w:tab w:val="center" w:pos="4153"/>
        <w:tab w:val="right" w:pos="8306"/>
      </w:tabs>
      <w:snapToGrid w:val="0"/>
      <w:jc w:val="left"/>
    </w:pPr>
    <w:rPr>
      <w:kern w:val="0"/>
      <w:sz w:val="18"/>
    </w:rPr>
  </w:style>
  <w:style w:type="paragraph" w:styleId="6">
    <w:name w:val="header"/>
    <w:basedOn w:val="1"/>
    <w:link w:val="20"/>
    <w:unhideWhenUsed/>
    <w:qFormat/>
    <w:uiPriority w:val="0"/>
    <w:pPr>
      <w:pBdr>
        <w:bottom w:val="single" w:color="auto" w:sz="6" w:space="1"/>
      </w:pBdr>
      <w:tabs>
        <w:tab w:val="center" w:pos="4153"/>
        <w:tab w:val="right" w:pos="8306"/>
      </w:tabs>
      <w:snapToGrid w:val="0"/>
      <w:jc w:val="center"/>
    </w:pPr>
    <w:rPr>
      <w:kern w:val="0"/>
      <w:sz w:val="18"/>
    </w:rPr>
  </w:style>
  <w:style w:type="paragraph" w:styleId="7">
    <w:name w:val="Body Text Indent 3"/>
    <w:basedOn w:val="1"/>
    <w:link w:val="16"/>
    <w:qFormat/>
    <w:uiPriority w:val="0"/>
    <w:pPr>
      <w:spacing w:after="120"/>
      <w:ind w:left="420" w:leftChars="200"/>
    </w:pPr>
    <w:rPr>
      <w:rFonts w:ascii="Times New Roman" w:hAnsi="Times New Roman"/>
      <w:sz w:val="16"/>
      <w:szCs w:val="16"/>
    </w:rPr>
  </w:style>
  <w:style w:type="paragraph" w:styleId="8">
    <w:name w:val="Normal (Web)"/>
    <w:basedOn w:val="1"/>
    <w:unhideWhenUsed/>
    <w:qFormat/>
    <w:uiPriority w:val="0"/>
    <w:pPr>
      <w:spacing w:before="100" w:beforeAutospacing="1" w:after="100" w:afterAutospacing="1" w:line="360" w:lineRule="auto"/>
      <w:ind w:firstLine="420"/>
      <w:jc w:val="left"/>
    </w:pPr>
    <w:rPr>
      <w:kern w:val="0"/>
      <w:sz w:val="24"/>
    </w:rPr>
  </w:style>
  <w:style w:type="character" w:styleId="10">
    <w:name w:val="Hyperlink"/>
    <w:qFormat/>
    <w:uiPriority w:val="0"/>
    <w:rPr>
      <w:color w:val="0000FF"/>
      <w:u w:val="single"/>
    </w:rPr>
  </w:style>
  <w:style w:type="character" w:styleId="11">
    <w:name w:val="annotation reference"/>
    <w:unhideWhenUsed/>
    <w:qFormat/>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Revision"/>
    <w:hidden/>
    <w:unhideWhenUsed/>
    <w:qFormat/>
    <w:uiPriority w:val="99"/>
    <w:rPr>
      <w:rFonts w:ascii="Calibri" w:hAnsi="Calibri" w:eastAsia="宋体" w:cs="Times New Roman"/>
      <w:kern w:val="2"/>
      <w:sz w:val="21"/>
      <w:lang w:val="en-US" w:eastAsia="zh-CN" w:bidi="ar-SA"/>
    </w:rPr>
  </w:style>
  <w:style w:type="paragraph" w:customStyle="1" w:styleId="15">
    <w:name w:val="List Paragraph"/>
    <w:basedOn w:val="1"/>
    <w:unhideWhenUsed/>
    <w:qFormat/>
    <w:uiPriority w:val="99"/>
    <w:pPr>
      <w:ind w:firstLine="420" w:firstLineChars="200"/>
    </w:pPr>
  </w:style>
  <w:style w:type="character" w:customStyle="1" w:styleId="16">
    <w:name w:val="正文文本缩进 3 Char"/>
    <w:link w:val="7"/>
    <w:qFormat/>
    <w:uiPriority w:val="0"/>
    <w:rPr>
      <w:kern w:val="2"/>
      <w:sz w:val="16"/>
      <w:szCs w:val="16"/>
    </w:rPr>
  </w:style>
  <w:style w:type="character" w:customStyle="1" w:styleId="17">
    <w:name w:val="标题 3 Char"/>
    <w:link w:val="2"/>
    <w:qFormat/>
    <w:locked/>
    <w:uiPriority w:val="0"/>
    <w:rPr>
      <w:rFonts w:ascii="Calibri" w:hAnsi="Calibri"/>
      <w:b/>
      <w:sz w:val="32"/>
    </w:rPr>
  </w:style>
  <w:style w:type="character" w:customStyle="1" w:styleId="18">
    <w:name w:val="批注文字 Char"/>
    <w:link w:val="3"/>
    <w:qFormat/>
    <w:uiPriority w:val="0"/>
    <w:rPr>
      <w:rFonts w:ascii="Calibri" w:hAnsi="Calibri"/>
    </w:rPr>
  </w:style>
  <w:style w:type="character" w:customStyle="1" w:styleId="19">
    <w:name w:val="页脚 Char"/>
    <w:link w:val="5"/>
    <w:qFormat/>
    <w:locked/>
    <w:uiPriority w:val="0"/>
    <w:rPr>
      <w:rFonts w:ascii="Calibri" w:hAnsi="Calibri"/>
      <w:sz w:val="18"/>
    </w:rPr>
  </w:style>
  <w:style w:type="character" w:customStyle="1" w:styleId="20">
    <w:name w:val="页眉 Char"/>
    <w:link w:val="6"/>
    <w:qFormat/>
    <w:locked/>
    <w:uiPriority w:val="0"/>
    <w:rPr>
      <w:rFonts w:ascii="Calibri" w:hAnsi="Calibri"/>
      <w:sz w:val="18"/>
    </w:rPr>
  </w:style>
  <w:style w:type="character" w:customStyle="1" w:styleId="21">
    <w:name w:val="批注框文本 Char"/>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2676</Words>
  <Characters>15254</Characters>
  <Lines>127</Lines>
  <Paragraphs>35</Paragraphs>
  <TotalTime>38</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2020-01-21T06:51:00Z</dcterms:created>
  <dc:creator>朱宏达</dc:creator>
  <cp:lastModifiedBy>crcb</cp:lastModifiedBy>
  <dcterms:modified xsi:type="dcterms:W3CDTF">2026-03-17T06:32:54Z</dcterms:modified>
  <dc:title>理财非存款、产品有风险、投资须谨慎！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0C4D8F0C343D4E9ABCFCCF3B8B8B4778</vt:lpwstr>
  </property>
</Properties>
</file>